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8DDCA">
      <w:pPr>
        <w:jc w:val="center"/>
        <w:rPr>
          <w:rFonts w:asciiTheme="minorEastAsia" w:hAnsiTheme="minorEastAsia"/>
          <w:b/>
          <w:color w:val="1F497D" w:themeColor="text2"/>
          <w:sz w:val="36"/>
          <w:szCs w:val="36"/>
        </w:rPr>
      </w:pPr>
    </w:p>
    <w:p w14:paraId="69262E1F">
      <w:pPr>
        <w:rPr>
          <w:rFonts w:asciiTheme="minorEastAsia" w:hAnsiTheme="minorEastAsia"/>
          <w:b/>
          <w:color w:val="1F497D" w:themeColor="text2"/>
          <w:sz w:val="36"/>
          <w:szCs w:val="36"/>
        </w:rPr>
      </w:pPr>
    </w:p>
    <w:p w14:paraId="0C4918E5">
      <w:pPr>
        <w:jc w:val="center"/>
        <w:rPr>
          <w:rFonts w:asciiTheme="minorEastAsia" w:hAnsiTheme="minorEastAsia"/>
          <w:b/>
          <w:sz w:val="44"/>
          <w:szCs w:val="44"/>
        </w:rPr>
      </w:pPr>
      <w:r>
        <w:rPr>
          <w:rFonts w:hint="eastAsia" w:asciiTheme="minorEastAsia" w:hAnsiTheme="minorEastAsia"/>
          <w:b/>
          <w:sz w:val="44"/>
          <w:szCs w:val="44"/>
        </w:rPr>
        <w:t>《内蒙古镶黄旗地区2025年钻探工程服务》</w:t>
      </w:r>
    </w:p>
    <w:p w14:paraId="6B9AA410">
      <w:pPr>
        <w:jc w:val="center"/>
        <w:rPr>
          <w:rFonts w:asciiTheme="minorEastAsia" w:hAnsiTheme="minorEastAsia"/>
          <w:b/>
          <w:sz w:val="48"/>
          <w:szCs w:val="48"/>
        </w:rPr>
      </w:pPr>
    </w:p>
    <w:p w14:paraId="77A94990">
      <w:pPr>
        <w:jc w:val="center"/>
        <w:rPr>
          <w:rFonts w:asciiTheme="minorEastAsia" w:hAnsiTheme="minorEastAsia"/>
          <w:b/>
          <w:sz w:val="48"/>
          <w:szCs w:val="48"/>
        </w:rPr>
      </w:pPr>
      <w:r>
        <w:rPr>
          <w:rFonts w:hint="eastAsia" w:asciiTheme="minorEastAsia" w:hAnsiTheme="minorEastAsia"/>
          <w:b/>
          <w:sz w:val="48"/>
          <w:szCs w:val="48"/>
        </w:rPr>
        <w:t>机械岩芯钻探服务</w:t>
      </w:r>
    </w:p>
    <w:p w14:paraId="464CF06B">
      <w:pPr>
        <w:adjustRightInd w:val="0"/>
        <w:snapToGrid w:val="0"/>
        <w:jc w:val="center"/>
        <w:rPr>
          <w:rFonts w:asciiTheme="minorEastAsia" w:hAnsiTheme="minorEastAsia"/>
          <w:b/>
          <w:sz w:val="48"/>
          <w:szCs w:val="48"/>
        </w:rPr>
      </w:pPr>
    </w:p>
    <w:p w14:paraId="24A15C9E">
      <w:pPr>
        <w:jc w:val="center"/>
        <w:rPr>
          <w:rFonts w:asciiTheme="minorEastAsia" w:hAnsiTheme="minorEastAsia"/>
          <w:sz w:val="72"/>
          <w:szCs w:val="72"/>
        </w:rPr>
      </w:pPr>
    </w:p>
    <w:p w14:paraId="175FD09B">
      <w:pPr>
        <w:rPr>
          <w:rFonts w:asciiTheme="minorEastAsia" w:hAnsiTheme="minorEastAsia"/>
          <w:sz w:val="72"/>
          <w:szCs w:val="72"/>
        </w:rPr>
      </w:pPr>
    </w:p>
    <w:p w14:paraId="520BCBF1">
      <w:pPr>
        <w:jc w:val="center"/>
        <w:rPr>
          <w:rFonts w:asciiTheme="minorEastAsia" w:hAnsiTheme="minorEastAsia"/>
          <w:sz w:val="84"/>
          <w:szCs w:val="84"/>
        </w:rPr>
      </w:pPr>
      <w:r>
        <w:rPr>
          <w:rFonts w:hint="eastAsia" w:asciiTheme="minorEastAsia" w:hAnsiTheme="minorEastAsia"/>
          <w:sz w:val="84"/>
          <w:szCs w:val="84"/>
        </w:rPr>
        <w:t>竞争性谈判文件</w:t>
      </w:r>
    </w:p>
    <w:p w14:paraId="6A92FC56">
      <w:pPr>
        <w:jc w:val="center"/>
        <w:rPr>
          <w:rFonts w:asciiTheme="minorEastAsia" w:hAnsiTheme="minorEastAsia"/>
          <w:color w:val="1F497D" w:themeColor="text2"/>
          <w:sz w:val="72"/>
          <w:szCs w:val="72"/>
        </w:rPr>
      </w:pPr>
    </w:p>
    <w:p w14:paraId="7110A043">
      <w:pPr>
        <w:jc w:val="center"/>
        <w:rPr>
          <w:rFonts w:asciiTheme="minorEastAsia" w:hAnsiTheme="minorEastAsia"/>
          <w:color w:val="1F497D" w:themeColor="text2"/>
          <w:sz w:val="72"/>
          <w:szCs w:val="72"/>
        </w:rPr>
      </w:pPr>
    </w:p>
    <w:p w14:paraId="01FC0B78">
      <w:pPr>
        <w:jc w:val="center"/>
        <w:rPr>
          <w:rFonts w:asciiTheme="minorEastAsia" w:hAnsiTheme="minorEastAsia"/>
          <w:color w:val="1F497D" w:themeColor="text2"/>
          <w:sz w:val="36"/>
          <w:szCs w:val="36"/>
        </w:rPr>
      </w:pPr>
    </w:p>
    <w:p w14:paraId="26573A98">
      <w:pPr>
        <w:jc w:val="center"/>
        <w:rPr>
          <w:rFonts w:asciiTheme="minorEastAsia" w:hAnsiTheme="minorEastAsia"/>
          <w:color w:val="1F497D" w:themeColor="text2"/>
          <w:sz w:val="36"/>
          <w:szCs w:val="36"/>
        </w:rPr>
      </w:pPr>
    </w:p>
    <w:p w14:paraId="6067559A">
      <w:pPr>
        <w:jc w:val="center"/>
        <w:rPr>
          <w:rFonts w:asciiTheme="minorEastAsia" w:hAnsiTheme="minorEastAsia"/>
          <w:color w:val="1F497D" w:themeColor="text2"/>
          <w:sz w:val="36"/>
          <w:szCs w:val="36"/>
        </w:rPr>
      </w:pPr>
    </w:p>
    <w:p w14:paraId="5C7F801C">
      <w:pPr>
        <w:jc w:val="center"/>
        <w:rPr>
          <w:rFonts w:asciiTheme="minorEastAsia" w:hAnsiTheme="minorEastAsia"/>
          <w:color w:val="1F497D" w:themeColor="text2"/>
          <w:sz w:val="36"/>
          <w:szCs w:val="36"/>
        </w:rPr>
      </w:pPr>
    </w:p>
    <w:p w14:paraId="19E7C06F">
      <w:pPr>
        <w:jc w:val="center"/>
        <w:rPr>
          <w:rFonts w:asciiTheme="minorEastAsia" w:hAnsiTheme="minorEastAsia"/>
          <w:color w:val="1F497D" w:themeColor="text2"/>
          <w:sz w:val="36"/>
          <w:szCs w:val="36"/>
        </w:rPr>
      </w:pPr>
    </w:p>
    <w:p w14:paraId="35F1BA38">
      <w:pPr>
        <w:ind w:firstLine="948" w:firstLineChars="295"/>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t>采购单位：内蒙古地质工程有限责任公司</w:t>
      </w:r>
    </w:p>
    <w:p w14:paraId="0D343E0E">
      <w:pPr>
        <w:ind w:firstLine="948" w:firstLineChars="295"/>
        <w:jc w:val="left"/>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项目编号：DZGC-DK-2025-003</w:t>
      </w:r>
    </w:p>
    <w:p w14:paraId="518A4615">
      <w:pPr>
        <w:ind w:firstLine="948" w:firstLineChars="295"/>
        <w:jc w:val="left"/>
        <w:rPr>
          <w:rFonts w:asciiTheme="minorEastAsia" w:hAnsiTheme="minorEastAsia"/>
          <w:b/>
          <w:sz w:val="32"/>
          <w:szCs w:val="32"/>
        </w:rPr>
      </w:pPr>
      <w:r>
        <w:rPr>
          <w:rFonts w:hint="eastAsia" w:asciiTheme="minorEastAsia" w:hAnsiTheme="minorEastAsia"/>
          <w:b/>
          <w:sz w:val="32"/>
          <w:szCs w:val="32"/>
        </w:rPr>
        <w:t>日期：2025年</w:t>
      </w:r>
      <w:r>
        <w:rPr>
          <w:rFonts w:hint="eastAsia" w:asciiTheme="minorEastAsia" w:hAnsiTheme="minorEastAsia"/>
          <w:b/>
          <w:sz w:val="32"/>
          <w:szCs w:val="32"/>
          <w:lang w:val="en-US" w:eastAsia="zh-CN"/>
        </w:rPr>
        <w:t>9</w:t>
      </w:r>
      <w:r>
        <w:rPr>
          <w:rFonts w:hint="eastAsia" w:asciiTheme="minorEastAsia" w:hAnsiTheme="minorEastAsia"/>
          <w:b/>
          <w:sz w:val="32"/>
          <w:szCs w:val="32"/>
        </w:rPr>
        <w:t>月</w:t>
      </w:r>
    </w:p>
    <w:p w14:paraId="6EFB163A">
      <w:pPr>
        <w:jc w:val="center"/>
        <w:rPr>
          <w:b/>
          <w:bCs/>
          <w:sz w:val="28"/>
          <w:szCs w:val="28"/>
        </w:rPr>
      </w:pPr>
      <w:r>
        <w:rPr>
          <w:rFonts w:ascii="宋体" w:hAnsi="宋体" w:eastAsia="宋体"/>
          <w:b/>
          <w:bCs/>
          <w:sz w:val="28"/>
          <w:szCs w:val="28"/>
        </w:rPr>
        <w:t>目录</w:t>
      </w:r>
    </w:p>
    <w:p w14:paraId="67C5B0CC">
      <w:pPr>
        <w:pStyle w:val="11"/>
        <w:tabs>
          <w:tab w:val="right" w:leader="dot" w:pos="8646"/>
        </w:tabs>
        <w:spacing w:after="0" w:line="500" w:lineRule="exact"/>
        <w:ind w:left="442"/>
        <w:rPr>
          <w:rFonts w:ascii="宋体" w:hAnsi="宋体" w:eastAsia="宋体" w:cs="宋体"/>
          <w:sz w:val="28"/>
          <w:szCs w:val="28"/>
        </w:rPr>
      </w:pPr>
      <w:r>
        <w:rPr>
          <w:rFonts w:hint="eastAsia" w:ascii="宋体" w:hAnsi="宋体" w:eastAsia="宋体" w:cs="宋体"/>
          <w:color w:val="1F497D" w:themeColor="text2"/>
          <w:kern w:val="2"/>
          <w:sz w:val="28"/>
          <w:szCs w:val="28"/>
        </w:rPr>
        <w:fldChar w:fldCharType="begin"/>
      </w:r>
      <w:r>
        <w:rPr>
          <w:rFonts w:hint="eastAsia" w:ascii="宋体" w:hAnsi="宋体" w:eastAsia="宋体" w:cs="宋体"/>
          <w:color w:val="1F497D" w:themeColor="text2"/>
          <w:kern w:val="2"/>
          <w:sz w:val="28"/>
          <w:szCs w:val="28"/>
        </w:rPr>
        <w:instrText xml:space="preserve">TOC \o "1-3" \h \u </w:instrText>
      </w:r>
      <w:r>
        <w:rPr>
          <w:rFonts w:hint="eastAsia" w:ascii="宋体" w:hAnsi="宋体" w:eastAsia="宋体" w:cs="宋体"/>
          <w:color w:val="1F497D" w:themeColor="text2"/>
          <w:kern w:val="2"/>
          <w:sz w:val="28"/>
          <w:szCs w:val="28"/>
        </w:rPr>
        <w:fldChar w:fldCharType="separate"/>
      </w:r>
      <w:r>
        <w:fldChar w:fldCharType="begin"/>
      </w:r>
      <w:r>
        <w:instrText xml:space="preserve"> HYPERLINK \l "_Toc18034" </w:instrText>
      </w:r>
      <w:r>
        <w:fldChar w:fldCharType="separate"/>
      </w:r>
      <w:r>
        <w:rPr>
          <w:rFonts w:hint="eastAsia" w:ascii="宋体" w:hAnsi="宋体" w:eastAsia="宋体" w:cs="宋体"/>
          <w:sz w:val="28"/>
          <w:szCs w:val="28"/>
        </w:rPr>
        <w:t>第一章  竞争性谈判邀请函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_Toc18034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5A1CE2">
      <w:pPr>
        <w:pStyle w:val="11"/>
        <w:tabs>
          <w:tab w:val="right" w:leader="dot" w:pos="8646"/>
        </w:tabs>
        <w:spacing w:line="500" w:lineRule="exact"/>
        <w:rPr>
          <w:rFonts w:ascii="宋体" w:hAnsi="宋体" w:eastAsia="宋体" w:cs="宋体"/>
          <w:sz w:val="28"/>
          <w:szCs w:val="28"/>
        </w:rPr>
      </w:pPr>
      <w:r>
        <w:fldChar w:fldCharType="begin"/>
      </w:r>
      <w:r>
        <w:instrText xml:space="preserve"> HYPERLINK \l "_Toc21248" </w:instrText>
      </w:r>
      <w: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_Toc21248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C03B33">
      <w:pPr>
        <w:pStyle w:val="11"/>
        <w:tabs>
          <w:tab w:val="right" w:leader="dot" w:pos="8646"/>
        </w:tabs>
        <w:spacing w:line="500" w:lineRule="exact"/>
        <w:ind w:firstLine="220" w:firstLineChars="100"/>
        <w:rPr>
          <w:rFonts w:ascii="宋体" w:hAnsi="宋体" w:eastAsia="宋体" w:cs="宋体"/>
          <w:sz w:val="28"/>
          <w:szCs w:val="28"/>
        </w:rPr>
      </w:pPr>
      <w:r>
        <w:fldChar w:fldCharType="begin"/>
      </w:r>
      <w:r>
        <w:instrText xml:space="preserve"> HYPERLINK \l "_Toc14101" </w:instrText>
      </w:r>
      <w:r>
        <w:fldChar w:fldCharType="separate"/>
      </w:r>
      <w:r>
        <w:rPr>
          <w:rFonts w:hint="eastAsia" w:ascii="宋体" w:hAnsi="宋体" w:eastAsia="宋体" w:cs="宋体"/>
          <w:sz w:val="28"/>
          <w:szCs w:val="28"/>
        </w:rPr>
        <w:t>一、适用范围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_Toc14101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353A43C">
      <w:pPr>
        <w:pStyle w:val="11"/>
        <w:tabs>
          <w:tab w:val="right" w:leader="dot" w:pos="8646"/>
        </w:tabs>
        <w:spacing w:line="500" w:lineRule="exact"/>
        <w:ind w:firstLine="220" w:firstLineChars="100"/>
        <w:rPr>
          <w:rFonts w:ascii="宋体" w:hAnsi="宋体" w:eastAsia="宋体" w:cs="宋体"/>
          <w:sz w:val="28"/>
          <w:szCs w:val="28"/>
        </w:rPr>
      </w:pPr>
      <w:r>
        <w:fldChar w:fldCharType="begin"/>
      </w:r>
      <w:r>
        <w:instrText xml:space="preserve"> HYPERLINK \l "_Toc1932" </w:instrText>
      </w:r>
      <w:r>
        <w:fldChar w:fldCharType="separate"/>
      </w:r>
      <w:r>
        <w:rPr>
          <w:rFonts w:hint="eastAsia" w:ascii="宋体" w:hAnsi="宋体" w:eastAsia="宋体" w:cs="宋体"/>
          <w:sz w:val="28"/>
          <w:szCs w:val="28"/>
        </w:rPr>
        <w:t>二、报价文件的编写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_Toc1932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ABBF1B">
      <w:pPr>
        <w:pStyle w:val="11"/>
        <w:tabs>
          <w:tab w:val="right" w:leader="dot" w:pos="8646"/>
        </w:tabs>
        <w:spacing w:line="500" w:lineRule="exact"/>
        <w:ind w:firstLine="220" w:firstLineChars="100"/>
        <w:rPr>
          <w:rFonts w:ascii="宋体" w:hAnsi="宋体" w:eastAsia="宋体" w:cs="宋体"/>
          <w:sz w:val="28"/>
          <w:szCs w:val="28"/>
        </w:rPr>
      </w:pPr>
      <w:r>
        <w:fldChar w:fldCharType="begin"/>
      </w:r>
      <w:r>
        <w:instrText xml:space="preserve"> HYPERLINK \l "_Toc4659" </w:instrText>
      </w:r>
      <w:r>
        <w:fldChar w:fldCharType="separate"/>
      </w:r>
      <w:r>
        <w:rPr>
          <w:rFonts w:hint="eastAsia" w:ascii="宋体" w:hAnsi="宋体" w:eastAsia="宋体" w:cs="宋体"/>
          <w:sz w:val="28"/>
          <w:szCs w:val="28"/>
        </w:rPr>
        <w:t>三、合格的供应商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_Toc4659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CAB2D1">
      <w:pPr>
        <w:pStyle w:val="11"/>
        <w:tabs>
          <w:tab w:val="right" w:leader="dot" w:pos="8646"/>
        </w:tabs>
        <w:spacing w:line="500" w:lineRule="exact"/>
        <w:rPr>
          <w:rFonts w:ascii="宋体" w:hAnsi="宋体" w:eastAsia="宋体" w:cs="宋体"/>
          <w:sz w:val="28"/>
          <w:szCs w:val="28"/>
        </w:rPr>
      </w:pPr>
      <w:r>
        <w:fldChar w:fldCharType="begin"/>
      </w:r>
      <w:r>
        <w:instrText xml:space="preserve"> HYPERLINK \l "_Toc26508" </w:instrText>
      </w:r>
      <w:r>
        <w:fldChar w:fldCharType="separate"/>
      </w:r>
      <w:r>
        <w:rPr>
          <w:rFonts w:hint="eastAsia" w:ascii="宋体" w:hAnsi="宋体" w:eastAsia="宋体" w:cs="宋体"/>
          <w:sz w:val="28"/>
          <w:szCs w:val="28"/>
        </w:rPr>
        <w:t>第三章  项目说明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_Toc26508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BBF8101">
      <w:pPr>
        <w:pStyle w:val="11"/>
        <w:tabs>
          <w:tab w:val="right" w:leader="dot" w:pos="8646"/>
        </w:tabs>
        <w:spacing w:line="500" w:lineRule="exact"/>
        <w:rPr>
          <w:rFonts w:ascii="宋体" w:hAnsi="宋体" w:eastAsia="宋体" w:cs="宋体"/>
          <w:sz w:val="28"/>
          <w:szCs w:val="28"/>
        </w:rPr>
      </w:pPr>
      <w:r>
        <w:fldChar w:fldCharType="begin"/>
      </w:r>
      <w:r>
        <w:instrText xml:space="preserve"> HYPERLINK \l "_Toc2889" </w:instrText>
      </w:r>
      <w:r>
        <w:fldChar w:fldCharType="separate"/>
      </w:r>
      <w:r>
        <w:rPr>
          <w:rFonts w:hint="eastAsia" w:ascii="宋体" w:hAnsi="宋体" w:eastAsia="宋体" w:cs="宋体"/>
          <w:sz w:val="28"/>
          <w:szCs w:val="28"/>
        </w:rPr>
        <w:t>第四章  公开报价、谈判、成交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98A1CE">
      <w:pPr>
        <w:pStyle w:val="11"/>
        <w:tabs>
          <w:tab w:val="right" w:leader="dot" w:pos="8646"/>
        </w:tabs>
        <w:spacing w:line="500" w:lineRule="exact"/>
        <w:ind w:firstLine="220" w:firstLineChars="100"/>
        <w:rPr>
          <w:rFonts w:ascii="宋体" w:hAnsi="宋体" w:eastAsia="宋体" w:cs="宋体"/>
          <w:sz w:val="28"/>
          <w:szCs w:val="28"/>
        </w:rPr>
      </w:pPr>
      <w:r>
        <w:fldChar w:fldCharType="begin"/>
      </w:r>
      <w:r>
        <w:instrText xml:space="preserve"> HYPERLINK \l "_Toc27047" </w:instrText>
      </w:r>
      <w:r>
        <w:fldChar w:fldCharType="separate"/>
      </w:r>
      <w:r>
        <w:rPr>
          <w:rFonts w:hint="eastAsia" w:ascii="宋体" w:hAnsi="宋体" w:eastAsia="宋体" w:cs="宋体"/>
          <w:sz w:val="28"/>
          <w:szCs w:val="28"/>
        </w:rPr>
        <w:t>一、报价文件的递交及公开报价仪式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_Toc27047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69637AA">
      <w:pPr>
        <w:pStyle w:val="11"/>
        <w:tabs>
          <w:tab w:val="right" w:leader="dot" w:pos="8646"/>
        </w:tabs>
        <w:spacing w:line="500" w:lineRule="exact"/>
        <w:ind w:firstLine="220" w:firstLineChars="100"/>
        <w:rPr>
          <w:rFonts w:ascii="宋体" w:hAnsi="宋体" w:eastAsia="宋体" w:cs="宋体"/>
          <w:sz w:val="28"/>
          <w:szCs w:val="28"/>
        </w:rPr>
      </w:pPr>
      <w:r>
        <w:fldChar w:fldCharType="begin"/>
      </w:r>
      <w:r>
        <w:instrText xml:space="preserve"> HYPERLINK \l "_Toc4857" </w:instrText>
      </w:r>
      <w:r>
        <w:fldChar w:fldCharType="separate"/>
      </w:r>
      <w:r>
        <w:rPr>
          <w:rFonts w:hint="eastAsia" w:ascii="宋体" w:hAnsi="宋体" w:eastAsia="宋体" w:cs="宋体"/>
          <w:sz w:val="28"/>
          <w:szCs w:val="28"/>
        </w:rPr>
        <w:t>二、谈判小组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_Toc4857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8B9C93C">
      <w:pPr>
        <w:pStyle w:val="11"/>
        <w:tabs>
          <w:tab w:val="right" w:leader="dot" w:pos="8646"/>
        </w:tabs>
        <w:spacing w:line="500" w:lineRule="exact"/>
        <w:ind w:firstLine="220" w:firstLineChars="100"/>
        <w:rPr>
          <w:rFonts w:ascii="宋体" w:hAnsi="宋体" w:eastAsia="宋体" w:cs="宋体"/>
          <w:sz w:val="28"/>
          <w:szCs w:val="28"/>
        </w:rPr>
      </w:pPr>
      <w:r>
        <w:fldChar w:fldCharType="begin"/>
      </w:r>
      <w:r>
        <w:instrText xml:space="preserve"> HYPERLINK \l "_Toc9774" </w:instrText>
      </w:r>
      <w:r>
        <w:fldChar w:fldCharType="separate"/>
      </w:r>
      <w:r>
        <w:rPr>
          <w:rFonts w:hint="eastAsia" w:ascii="宋体" w:hAnsi="宋体" w:eastAsia="宋体" w:cs="宋体"/>
          <w:sz w:val="28"/>
          <w:szCs w:val="28"/>
        </w:rPr>
        <w:t>三、谈判原则和评审办法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_Toc9774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20B805">
      <w:pPr>
        <w:pStyle w:val="11"/>
        <w:tabs>
          <w:tab w:val="right" w:leader="dot" w:pos="8646"/>
        </w:tabs>
        <w:spacing w:line="500" w:lineRule="exact"/>
        <w:ind w:firstLine="220" w:firstLineChars="100"/>
        <w:rPr>
          <w:rFonts w:ascii="宋体" w:hAnsi="宋体" w:eastAsia="宋体" w:cs="宋体"/>
          <w:sz w:val="28"/>
          <w:szCs w:val="28"/>
        </w:rPr>
      </w:pPr>
      <w:r>
        <w:fldChar w:fldCharType="begin"/>
      </w:r>
      <w:r>
        <w:instrText xml:space="preserve"> HYPERLINK \l "_Toc27071" </w:instrText>
      </w:r>
      <w:r>
        <w:fldChar w:fldCharType="separate"/>
      </w:r>
      <w:r>
        <w:rPr>
          <w:rFonts w:hint="eastAsia" w:ascii="宋体" w:hAnsi="宋体" w:eastAsia="宋体" w:cs="宋体"/>
          <w:sz w:val="28"/>
          <w:szCs w:val="28"/>
        </w:rPr>
        <w:t>四、谈判纪律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_Toc27071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0AD7E03">
      <w:pPr>
        <w:pStyle w:val="11"/>
        <w:tabs>
          <w:tab w:val="right" w:leader="dot" w:pos="8646"/>
        </w:tabs>
        <w:spacing w:line="500" w:lineRule="exact"/>
        <w:ind w:firstLine="220" w:firstLineChars="100"/>
        <w:rPr>
          <w:rFonts w:ascii="宋体" w:hAnsi="宋体" w:eastAsia="宋体" w:cs="宋体"/>
          <w:sz w:val="28"/>
          <w:szCs w:val="28"/>
        </w:rPr>
      </w:pPr>
      <w:r>
        <w:fldChar w:fldCharType="begin"/>
      </w:r>
      <w:r>
        <w:instrText xml:space="preserve"> HYPERLINK \l "_Toc26478" </w:instrText>
      </w:r>
      <w:r>
        <w:fldChar w:fldCharType="separate"/>
      </w:r>
      <w:r>
        <w:rPr>
          <w:rFonts w:hint="eastAsia" w:ascii="宋体" w:hAnsi="宋体" w:eastAsia="宋体" w:cs="宋体"/>
          <w:sz w:val="28"/>
          <w:szCs w:val="28"/>
        </w:rPr>
        <w:t>五、成交通知书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_Toc26478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B6F5DC">
      <w:pPr>
        <w:pStyle w:val="11"/>
        <w:tabs>
          <w:tab w:val="right" w:leader="dot" w:pos="8646"/>
        </w:tabs>
        <w:spacing w:line="500" w:lineRule="exact"/>
        <w:ind w:firstLine="220" w:firstLineChars="100"/>
        <w:rPr>
          <w:rFonts w:ascii="宋体" w:hAnsi="宋体" w:eastAsia="宋体" w:cs="宋体"/>
          <w:sz w:val="28"/>
          <w:szCs w:val="28"/>
        </w:rPr>
      </w:pPr>
      <w:r>
        <w:fldChar w:fldCharType="begin"/>
      </w:r>
      <w:r>
        <w:instrText xml:space="preserve"> HYPERLINK \l "_Toc5483" </w:instrText>
      </w:r>
      <w:r>
        <w:fldChar w:fldCharType="separate"/>
      </w:r>
      <w:r>
        <w:rPr>
          <w:rFonts w:hint="eastAsia" w:ascii="宋体" w:hAnsi="宋体" w:eastAsia="宋体" w:cs="宋体"/>
          <w:sz w:val="28"/>
          <w:szCs w:val="28"/>
        </w:rPr>
        <w:t>六、授予合同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_Toc5483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62FDB23">
      <w:pPr>
        <w:pStyle w:val="11"/>
        <w:tabs>
          <w:tab w:val="right" w:leader="dot" w:pos="8646"/>
        </w:tabs>
        <w:spacing w:line="500" w:lineRule="exact"/>
        <w:rPr>
          <w:rFonts w:ascii="宋体" w:hAnsi="宋体" w:eastAsia="宋体" w:cs="宋体"/>
          <w:sz w:val="28"/>
          <w:szCs w:val="28"/>
        </w:rPr>
      </w:pPr>
      <w:r>
        <w:fldChar w:fldCharType="begin"/>
      </w:r>
      <w:r>
        <w:instrText xml:space="preserve"> HYPERLINK \l "_Toc21960" </w:instrText>
      </w:r>
      <w:r>
        <w:fldChar w:fldCharType="separate"/>
      </w:r>
      <w:r>
        <w:rPr>
          <w:rFonts w:hint="eastAsia" w:ascii="宋体" w:hAnsi="宋体" w:eastAsia="宋体" w:cs="宋体"/>
          <w:sz w:val="28"/>
          <w:szCs w:val="28"/>
        </w:rPr>
        <w:t>第五章  合同草案（以实际签订为准）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_Toc21960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50644D">
      <w:pPr>
        <w:pStyle w:val="11"/>
        <w:tabs>
          <w:tab w:val="right" w:leader="dot" w:pos="8646"/>
        </w:tabs>
        <w:spacing w:line="500" w:lineRule="exact"/>
        <w:rPr>
          <w:rFonts w:ascii="宋体" w:hAnsi="宋体" w:eastAsia="宋体" w:cs="宋体"/>
          <w:sz w:val="28"/>
          <w:szCs w:val="28"/>
        </w:rPr>
      </w:pPr>
      <w:r>
        <w:fldChar w:fldCharType="begin"/>
      </w:r>
      <w:r>
        <w:instrText xml:space="preserve"> HYPERLINK \l "_Toc14180" </w:instrText>
      </w:r>
      <w:r>
        <w:fldChar w:fldCharType="separate"/>
      </w:r>
      <w:r>
        <w:rPr>
          <w:rFonts w:hint="eastAsia" w:ascii="宋体" w:hAnsi="宋体" w:eastAsia="宋体" w:cs="宋体"/>
          <w:sz w:val="28"/>
          <w:szCs w:val="28"/>
        </w:rPr>
        <w:t>第六章  报价函（部分格式）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_Toc14180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4AE15F">
      <w:pPr>
        <w:pStyle w:val="11"/>
        <w:tabs>
          <w:tab w:val="right" w:leader="dot" w:pos="8646"/>
        </w:tabs>
        <w:spacing w:line="500" w:lineRule="exact"/>
        <w:ind w:firstLine="220" w:firstLineChars="100"/>
        <w:rPr>
          <w:rFonts w:ascii="宋体" w:hAnsi="宋体" w:eastAsia="宋体" w:cs="宋体"/>
          <w:sz w:val="28"/>
          <w:szCs w:val="28"/>
        </w:rPr>
      </w:pPr>
      <w:r>
        <w:fldChar w:fldCharType="begin"/>
      </w:r>
      <w:r>
        <w:instrText xml:space="preserve"> HYPERLINK \l "_Toc25962" </w:instrText>
      </w:r>
      <w:r>
        <w:fldChar w:fldCharType="separate"/>
      </w:r>
      <w:r>
        <w:rPr>
          <w:rFonts w:hint="eastAsia" w:ascii="宋体" w:hAnsi="宋体" w:eastAsia="宋体" w:cs="宋体"/>
          <w:sz w:val="28"/>
          <w:szCs w:val="28"/>
        </w:rPr>
        <w:t>一、报价函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_Toc25962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3FFB286">
      <w:pPr>
        <w:pStyle w:val="11"/>
        <w:tabs>
          <w:tab w:val="right" w:leader="dot" w:pos="8646"/>
        </w:tabs>
        <w:spacing w:line="500" w:lineRule="exact"/>
        <w:ind w:firstLine="220" w:firstLineChars="100"/>
        <w:rPr>
          <w:rFonts w:ascii="宋体" w:hAnsi="宋体" w:eastAsia="宋体" w:cs="宋体"/>
          <w:sz w:val="28"/>
          <w:szCs w:val="28"/>
        </w:rPr>
      </w:pPr>
      <w:r>
        <w:fldChar w:fldCharType="begin"/>
      </w:r>
      <w:r>
        <w:instrText xml:space="preserve"> HYPERLINK \l "_Toc29177" </w:instrText>
      </w:r>
      <w:r>
        <w:fldChar w:fldCharType="separate"/>
      </w:r>
      <w:r>
        <w:rPr>
          <w:rFonts w:hint="eastAsia" w:ascii="宋体" w:hAnsi="宋体" w:eastAsia="宋体" w:cs="宋体"/>
          <w:sz w:val="28"/>
          <w:szCs w:val="28"/>
        </w:rPr>
        <w:t>二、法定代表人授权委托书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_Toc29177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B46C12">
      <w:pPr>
        <w:pStyle w:val="11"/>
        <w:tabs>
          <w:tab w:val="right" w:leader="dot" w:pos="8646"/>
        </w:tabs>
        <w:spacing w:line="500" w:lineRule="exact"/>
        <w:ind w:firstLine="220" w:firstLineChars="100"/>
        <w:rPr>
          <w:rFonts w:ascii="宋体" w:hAnsi="宋体" w:eastAsia="宋体" w:cs="宋体"/>
          <w:sz w:val="28"/>
          <w:szCs w:val="28"/>
        </w:rPr>
      </w:pPr>
      <w:r>
        <w:fldChar w:fldCharType="begin"/>
      </w:r>
      <w:r>
        <w:instrText xml:space="preserve"> HYPERLINK \l "_Toc6870" </w:instrText>
      </w:r>
      <w:r>
        <w:fldChar w:fldCharType="separate"/>
      </w:r>
      <w:r>
        <w:rPr>
          <w:rFonts w:hint="eastAsia" w:ascii="宋体" w:hAnsi="宋体" w:eastAsia="宋体" w:cs="宋体"/>
          <w:sz w:val="28"/>
          <w:szCs w:val="28"/>
        </w:rPr>
        <w:t>三、报价一览表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_Toc6870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D64064">
      <w:pPr>
        <w:pStyle w:val="11"/>
        <w:tabs>
          <w:tab w:val="right" w:leader="dot" w:pos="8646"/>
        </w:tabs>
        <w:spacing w:line="240" w:lineRule="auto"/>
        <w:ind w:firstLine="220" w:firstLineChars="100"/>
        <w:rPr>
          <w:rFonts w:ascii="宋体" w:hAnsi="宋体" w:eastAsia="宋体" w:cs="宋体"/>
          <w:sz w:val="28"/>
          <w:szCs w:val="28"/>
        </w:rPr>
      </w:pPr>
      <w:r>
        <w:fldChar w:fldCharType="begin"/>
      </w:r>
      <w:r>
        <w:instrText xml:space="preserve"> HYPERLINK \l "_Toc15698" </w:instrText>
      </w:r>
      <w:r>
        <w:fldChar w:fldCharType="separate"/>
      </w:r>
      <w:r>
        <w:rPr>
          <w:rFonts w:hint="eastAsia" w:ascii="宋体" w:hAnsi="宋体" w:eastAsia="宋体" w:cs="宋体"/>
          <w:sz w:val="28"/>
          <w:szCs w:val="28"/>
        </w:rPr>
        <w:t>四、商务及技术方案部分报价人自行设计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_Toc15698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06E2305">
      <w:pPr>
        <w:rPr>
          <w:rFonts w:ascii="宋体" w:hAnsi="宋体" w:eastAsia="宋体" w:cs="宋体"/>
          <w:color w:val="1F497D" w:themeColor="text2"/>
          <w:sz w:val="28"/>
          <w:szCs w:val="28"/>
        </w:rPr>
      </w:pPr>
      <w:r>
        <w:rPr>
          <w:rFonts w:hint="eastAsia" w:ascii="宋体" w:hAnsi="宋体" w:eastAsia="宋体" w:cs="宋体"/>
          <w:color w:val="1F497D" w:themeColor="text2"/>
          <w:sz w:val="28"/>
          <w:szCs w:val="28"/>
        </w:rPr>
        <w:fldChar w:fldCharType="end"/>
      </w:r>
    </w:p>
    <w:p w14:paraId="3FAC9EBA">
      <w:pPr>
        <w:rPr>
          <w:rFonts w:ascii="宋体" w:hAnsi="宋体" w:eastAsia="宋体" w:cs="宋体"/>
          <w:color w:val="1F497D" w:themeColor="text2"/>
          <w:sz w:val="28"/>
          <w:szCs w:val="28"/>
        </w:rPr>
      </w:pPr>
    </w:p>
    <w:p w14:paraId="74895CE1">
      <w:pPr>
        <w:jc w:val="left"/>
        <w:rPr>
          <w:rFonts w:ascii="宋体" w:hAnsi="宋体" w:eastAsia="宋体" w:cs="宋体"/>
          <w:color w:val="1F497D" w:themeColor="text2"/>
          <w:sz w:val="28"/>
          <w:szCs w:val="28"/>
        </w:rPr>
        <w:sectPr>
          <w:headerReference r:id="rId3" w:type="default"/>
          <w:footerReference r:id="rId4" w:type="even"/>
          <w:pgSz w:w="11906" w:h="16838"/>
          <w:pgMar w:top="1418" w:right="1700" w:bottom="1418" w:left="1560" w:header="851" w:footer="992" w:gutter="0"/>
          <w:pgNumType w:start="1"/>
          <w:cols w:space="720" w:num="1"/>
          <w:docGrid w:type="lines" w:linePitch="312" w:charSpace="0"/>
        </w:sectPr>
      </w:pPr>
    </w:p>
    <w:p w14:paraId="4EA9F5F3">
      <w:pPr>
        <w:spacing w:line="360" w:lineRule="auto"/>
        <w:ind w:firstLine="602" w:firstLineChars="200"/>
        <w:jc w:val="center"/>
        <w:outlineLvl w:val="2"/>
        <w:rPr>
          <w:rFonts w:ascii="宋体" w:hAnsi="宋体" w:eastAsia="宋体" w:cs="宋体"/>
          <w:b/>
          <w:color w:val="000000"/>
          <w:kern w:val="0"/>
          <w:sz w:val="30"/>
          <w:szCs w:val="30"/>
        </w:rPr>
      </w:pPr>
      <w:bookmarkStart w:id="0" w:name="_Toc18034"/>
      <w:r>
        <w:rPr>
          <w:rFonts w:hint="eastAsia" w:ascii="宋体" w:hAnsi="宋体" w:eastAsia="宋体" w:cs="宋体"/>
          <w:b/>
          <w:color w:val="000000"/>
          <w:kern w:val="0"/>
          <w:sz w:val="30"/>
          <w:szCs w:val="30"/>
        </w:rPr>
        <w:t>第一章  竞争性谈判邀请函</w:t>
      </w:r>
      <w:bookmarkEnd w:id="0"/>
    </w:p>
    <w:p w14:paraId="59235877">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因内蒙古镶黄旗地区2025年钻探工程服务项目的生产需要，现对该项目的机械岩心钻探服务进行竞争性谈判采购，特邀合格供应商参加谈判。</w:t>
      </w:r>
    </w:p>
    <w:p w14:paraId="39C470E8">
      <w:pPr>
        <w:spacing w:line="360" w:lineRule="auto"/>
        <w:rPr>
          <w:rFonts w:asciiTheme="majorEastAsia" w:hAnsiTheme="majorEastAsia" w:eastAsiaTheme="majorEastAsia"/>
          <w:b/>
          <w:sz w:val="28"/>
          <w:szCs w:val="28"/>
        </w:rPr>
      </w:pPr>
      <w:r>
        <w:rPr>
          <w:rFonts w:hint="eastAsia" w:ascii="Arial" w:hAnsi="Arial" w:eastAsia="黑体"/>
          <w:b/>
          <w:sz w:val="28"/>
        </w:rPr>
        <w:t>一、项目名称：</w:t>
      </w:r>
      <w:r>
        <w:rPr>
          <w:rFonts w:hint="eastAsia" w:asciiTheme="majorEastAsia" w:hAnsiTheme="majorEastAsia" w:eastAsiaTheme="majorEastAsia"/>
          <w:b/>
          <w:sz w:val="28"/>
          <w:szCs w:val="28"/>
        </w:rPr>
        <w:t>内蒙古镶黄旗地区2025年钻探工程服务</w:t>
      </w:r>
    </w:p>
    <w:p w14:paraId="41FFCDE2">
      <w:pPr>
        <w:adjustRightInd w:val="0"/>
        <w:snapToGrid w:val="0"/>
        <w:spacing w:line="360" w:lineRule="auto"/>
        <w:ind w:firstLine="562" w:firstLineChars="200"/>
        <w:rPr>
          <w:rFonts w:ascii="仿宋_GB2312" w:eastAsia="仿宋_GB2312"/>
          <w:sz w:val="24"/>
          <w:szCs w:val="24"/>
        </w:rPr>
      </w:pPr>
      <w:r>
        <w:rPr>
          <w:rFonts w:hint="eastAsia" w:ascii="黑体" w:hAnsi="黑体" w:eastAsia="黑体" w:cs="黑体"/>
          <w:b/>
          <w:sz w:val="28"/>
          <w:szCs w:val="28"/>
        </w:rPr>
        <w:t>项目地点：</w:t>
      </w:r>
      <w:r>
        <w:rPr>
          <w:rFonts w:hint="eastAsia" w:asciiTheme="majorEastAsia" w:hAnsiTheme="majorEastAsia" w:eastAsiaTheme="majorEastAsia"/>
          <w:b/>
          <w:sz w:val="28"/>
          <w:szCs w:val="28"/>
        </w:rPr>
        <w:t>内蒙古镶黄旗地区</w:t>
      </w:r>
    </w:p>
    <w:p w14:paraId="4BBF021F">
      <w:pPr>
        <w:spacing w:line="360" w:lineRule="auto"/>
        <w:rPr>
          <w:rFonts w:asciiTheme="majorEastAsia" w:hAnsiTheme="majorEastAsia" w:eastAsiaTheme="majorEastAsia"/>
          <w:sz w:val="28"/>
          <w:szCs w:val="28"/>
        </w:rPr>
      </w:pPr>
      <w:r>
        <w:rPr>
          <w:rFonts w:hint="eastAsia" w:ascii="Arial" w:hAnsi="Arial" w:eastAsia="黑体"/>
          <w:b/>
          <w:sz w:val="28"/>
        </w:rPr>
        <w:t>二、技术要求：</w:t>
      </w:r>
      <w:r>
        <w:rPr>
          <w:rFonts w:hint="eastAsia" w:asciiTheme="majorEastAsia" w:hAnsiTheme="majorEastAsia" w:eastAsiaTheme="majorEastAsia"/>
          <w:sz w:val="28"/>
          <w:szCs w:val="28"/>
        </w:rPr>
        <w:t>供应商须使用能够达到本次钻探工作目的机械设备；施工技术要求以项目设计书和《地质岩心钻探规程》（DZ/T0227-2018）为准，并提供完整、准确的施工技术原始资料。</w:t>
      </w:r>
    </w:p>
    <w:p w14:paraId="28BD8951">
      <w:pPr>
        <w:adjustRightInd w:val="0"/>
        <w:snapToGrid w:val="0"/>
        <w:spacing w:line="360" w:lineRule="auto"/>
        <w:rPr>
          <w:rFonts w:ascii="Arial" w:hAnsi="Arial" w:eastAsia="黑体"/>
          <w:b/>
          <w:sz w:val="28"/>
        </w:rPr>
      </w:pPr>
      <w:r>
        <w:rPr>
          <w:rFonts w:hint="eastAsia" w:ascii="Arial" w:hAnsi="Arial" w:eastAsia="黑体"/>
          <w:b/>
          <w:sz w:val="28"/>
        </w:rPr>
        <w:t>三、供应商资格要求：</w:t>
      </w:r>
    </w:p>
    <w:p w14:paraId="3166153B">
      <w:pPr>
        <w:spacing w:line="360" w:lineRule="auto"/>
        <w:ind w:firstLine="840" w:firstLineChars="300"/>
        <w:rPr>
          <w:rFonts w:ascii="宋体" w:hAnsi="宋体" w:eastAsia="宋体" w:cs="Times New Roman"/>
          <w:kern w:val="0"/>
          <w:sz w:val="28"/>
          <w:szCs w:val="28"/>
        </w:rPr>
      </w:pPr>
      <w:r>
        <w:rPr>
          <w:rFonts w:hint="eastAsia" w:ascii="宋体" w:hAnsi="宋体" w:eastAsia="宋体" w:cs="Times New Roman"/>
          <w:kern w:val="0"/>
          <w:sz w:val="28"/>
          <w:szCs w:val="28"/>
        </w:rPr>
        <w:t>1.在中国境内注册具有本项目服务供应或施工能力的独立企业法人资格；</w:t>
      </w:r>
    </w:p>
    <w:p w14:paraId="472D48A8">
      <w:pPr>
        <w:pStyle w:val="23"/>
        <w:spacing w:beforeLines="50" w:line="560" w:lineRule="exact"/>
        <w:ind w:left="720"/>
        <w:jc w:val="both"/>
        <w:rPr>
          <w:rFonts w:ascii="宋体" w:hAnsi="宋体" w:eastAsia="宋体"/>
          <w:spacing w:val="0"/>
          <w:sz w:val="28"/>
          <w:szCs w:val="28"/>
        </w:rPr>
      </w:pPr>
      <w:r>
        <w:rPr>
          <w:rFonts w:hint="eastAsia" w:ascii="宋体" w:hAnsi="宋体" w:eastAsia="宋体"/>
          <w:spacing w:val="0"/>
          <w:sz w:val="28"/>
          <w:szCs w:val="28"/>
        </w:rPr>
        <w:t>2.有依法缴纳税收和社会保障资金的良好记录；</w:t>
      </w:r>
    </w:p>
    <w:p w14:paraId="7FDFD140">
      <w:pPr>
        <w:pStyle w:val="23"/>
        <w:spacing w:beforeLines="50" w:line="560" w:lineRule="exact"/>
        <w:ind w:left="720"/>
        <w:jc w:val="both"/>
        <w:rPr>
          <w:rFonts w:ascii="宋体" w:hAnsi="宋体" w:eastAsia="宋体"/>
          <w:spacing w:val="0"/>
          <w:sz w:val="28"/>
          <w:szCs w:val="28"/>
        </w:rPr>
      </w:pPr>
      <w:r>
        <w:rPr>
          <w:rFonts w:hint="eastAsia" w:ascii="宋体" w:hAnsi="宋体" w:eastAsia="宋体"/>
          <w:spacing w:val="0"/>
          <w:sz w:val="28"/>
          <w:szCs w:val="28"/>
        </w:rPr>
        <w:t>3.具有履行合同所必需的设备和专业技术能力；</w:t>
      </w:r>
    </w:p>
    <w:p w14:paraId="607DD2FA">
      <w:pPr>
        <w:pStyle w:val="23"/>
        <w:spacing w:beforeLines="50" w:line="560" w:lineRule="exact"/>
        <w:ind w:left="720"/>
        <w:jc w:val="both"/>
        <w:rPr>
          <w:rFonts w:ascii="宋体" w:hAnsi="宋体" w:eastAsia="宋体"/>
          <w:spacing w:val="0"/>
          <w:sz w:val="28"/>
          <w:szCs w:val="28"/>
        </w:rPr>
      </w:pPr>
      <w:r>
        <w:rPr>
          <w:rFonts w:hint="eastAsia" w:ascii="宋体" w:hAnsi="宋体" w:eastAsia="宋体"/>
          <w:spacing w:val="0"/>
          <w:sz w:val="28"/>
          <w:szCs w:val="28"/>
        </w:rPr>
        <w:t>4.具有良好的商业信誉和健全的财务会计制度；</w:t>
      </w:r>
    </w:p>
    <w:p w14:paraId="7FD1493D">
      <w:pPr>
        <w:pStyle w:val="23"/>
        <w:spacing w:beforeLines="50" w:line="560" w:lineRule="exact"/>
        <w:ind w:left="720"/>
        <w:jc w:val="both"/>
        <w:rPr>
          <w:rFonts w:ascii="宋体" w:hAnsi="宋体" w:eastAsia="宋体"/>
          <w:spacing w:val="0"/>
          <w:sz w:val="28"/>
          <w:szCs w:val="28"/>
        </w:rPr>
      </w:pPr>
      <w:r>
        <w:rPr>
          <w:rFonts w:hint="eastAsia" w:ascii="宋体" w:hAnsi="宋体" w:eastAsia="宋体"/>
          <w:spacing w:val="0"/>
          <w:sz w:val="28"/>
          <w:szCs w:val="28"/>
        </w:rPr>
        <w:t>5.供应商必须为资信良好、能提供完善售后服务的公司企业；</w:t>
      </w:r>
    </w:p>
    <w:p w14:paraId="53795408">
      <w:pPr>
        <w:pStyle w:val="23"/>
        <w:spacing w:beforeLines="50" w:line="560" w:lineRule="exact"/>
        <w:ind w:left="720"/>
        <w:jc w:val="both"/>
        <w:rPr>
          <w:rFonts w:ascii="宋体" w:hAnsi="宋体" w:eastAsia="宋体"/>
          <w:spacing w:val="0"/>
          <w:sz w:val="28"/>
          <w:szCs w:val="28"/>
        </w:rPr>
      </w:pPr>
      <w:r>
        <w:rPr>
          <w:rFonts w:hint="eastAsia" w:ascii="宋体" w:hAnsi="宋体" w:eastAsia="宋体"/>
          <w:spacing w:val="0"/>
          <w:sz w:val="28"/>
          <w:szCs w:val="28"/>
        </w:rPr>
        <w:t>6.参加采购活动前三年内，没有重大违法记录；</w:t>
      </w:r>
    </w:p>
    <w:p w14:paraId="323A05C2">
      <w:pPr>
        <w:pStyle w:val="23"/>
        <w:spacing w:beforeLines="50" w:line="560" w:lineRule="exact"/>
        <w:ind w:left="720"/>
        <w:jc w:val="both"/>
        <w:rPr>
          <w:rFonts w:ascii="宋体" w:hAnsi="宋体" w:eastAsia="宋体"/>
          <w:spacing w:val="0"/>
          <w:sz w:val="28"/>
          <w:szCs w:val="28"/>
        </w:rPr>
      </w:pPr>
      <w:r>
        <w:rPr>
          <w:rFonts w:hint="eastAsia" w:ascii="宋体" w:hAnsi="宋体" w:eastAsia="宋体"/>
          <w:spacing w:val="0"/>
          <w:sz w:val="28"/>
          <w:szCs w:val="28"/>
        </w:rPr>
        <w:t>7.</w:t>
      </w:r>
      <w:r>
        <w:rPr>
          <w:rFonts w:hint="eastAsia" w:asciiTheme="minorEastAsia" w:hAnsiTheme="minorEastAsia" w:eastAsiaTheme="minorEastAsia"/>
          <w:sz w:val="28"/>
          <w:szCs w:val="28"/>
        </w:rPr>
        <w:t>具有健全、有效的管理体制和质量保证体系；</w:t>
      </w:r>
    </w:p>
    <w:p w14:paraId="4F7561B7">
      <w:pPr>
        <w:pStyle w:val="23"/>
        <w:spacing w:beforeLines="50" w:line="560" w:lineRule="exact"/>
        <w:ind w:left="720"/>
        <w:jc w:val="both"/>
        <w:rPr>
          <w:rFonts w:asciiTheme="minorEastAsia" w:hAnsiTheme="minorEastAsia" w:eastAsiaTheme="minorEastAsia"/>
          <w:sz w:val="28"/>
          <w:szCs w:val="28"/>
        </w:rPr>
      </w:pPr>
      <w:r>
        <w:rPr>
          <w:rFonts w:hint="eastAsia" w:ascii="宋体" w:hAnsi="宋体" w:eastAsia="宋体"/>
          <w:spacing w:val="0"/>
          <w:sz w:val="28"/>
          <w:szCs w:val="28"/>
        </w:rPr>
        <w:t>8.具有类似项目实施经验，</w:t>
      </w:r>
      <w:r>
        <w:rPr>
          <w:rFonts w:hint="eastAsia" w:asciiTheme="minorEastAsia" w:hAnsiTheme="minorEastAsia" w:eastAsiaTheme="minorEastAsia"/>
          <w:sz w:val="28"/>
          <w:szCs w:val="28"/>
        </w:rPr>
        <w:t>能够满足机械岩心钻探工所需要的技术、人员和机械设备并能够有能力组织人员进行安全生产。</w:t>
      </w:r>
    </w:p>
    <w:p w14:paraId="7B741B4C">
      <w:pPr>
        <w:pStyle w:val="9"/>
        <w:spacing w:line="560" w:lineRule="exact"/>
        <w:ind w:firstLine="0" w:firstLineChars="0"/>
        <w:jc w:val="both"/>
        <w:rPr>
          <w:rFonts w:cs="仿宋" w:asciiTheme="minorEastAsia" w:hAnsiTheme="minorEastAsia" w:eastAsiaTheme="minorEastAsia"/>
          <w:color w:val="1F497D" w:themeColor="text2"/>
          <w:sz w:val="28"/>
          <w:szCs w:val="28"/>
          <w:highlight w:val="darkYellow"/>
          <w:lang w:eastAsia="zh-CN"/>
        </w:rPr>
      </w:pPr>
      <w:r>
        <w:rPr>
          <w:rFonts w:hint="eastAsia" w:ascii="Arial" w:hAnsi="Arial" w:eastAsia="黑体" w:cstheme="minorBidi"/>
          <w:b/>
          <w:snapToGrid/>
          <w:kern w:val="2"/>
          <w:sz w:val="28"/>
          <w:szCs w:val="22"/>
          <w:lang w:eastAsia="zh-CN"/>
        </w:rPr>
        <w:t>四、谈判时间：</w:t>
      </w:r>
      <w:r>
        <w:rPr>
          <w:rFonts w:hint="eastAsia" w:cs="仿宋" w:asciiTheme="minorEastAsia" w:hAnsiTheme="minorEastAsia" w:eastAsiaTheme="minorEastAsia"/>
          <w:snapToGrid/>
          <w:kern w:val="2"/>
          <w:sz w:val="28"/>
          <w:szCs w:val="28"/>
          <w:lang w:val="en-US" w:eastAsia="zh-CN" w:bidi="ar-SA"/>
        </w:rPr>
        <w:t>2025年9月17日</w:t>
      </w:r>
    </w:p>
    <w:p w14:paraId="03C059A2">
      <w:pPr>
        <w:pStyle w:val="21"/>
        <w:ind w:firstLine="0" w:firstLineChars="0"/>
        <w:rPr>
          <w:rFonts w:hint="eastAsia" w:cs="仿宋" w:asciiTheme="minorEastAsia" w:hAnsiTheme="minorEastAsia"/>
          <w:sz w:val="28"/>
          <w:szCs w:val="28"/>
        </w:rPr>
      </w:pPr>
      <w:r>
        <w:rPr>
          <w:rFonts w:hint="eastAsia" w:ascii="黑体" w:hAnsi="黑体" w:eastAsia="黑体" w:cs="黑体"/>
          <w:b/>
          <w:bCs/>
          <w:sz w:val="28"/>
          <w:szCs w:val="28"/>
        </w:rPr>
        <w:t>五、竞争性谈判地点</w:t>
      </w:r>
      <w:r>
        <w:rPr>
          <w:rFonts w:hint="eastAsia" w:ascii="黑体" w:hAnsi="黑体" w:eastAsia="黑体" w:cs="黑体"/>
          <w:sz w:val="28"/>
          <w:szCs w:val="28"/>
        </w:rPr>
        <w:t>：</w:t>
      </w:r>
      <w:r>
        <w:rPr>
          <w:rFonts w:hint="eastAsia" w:cs="仿宋" w:asciiTheme="minorEastAsia" w:hAnsiTheme="minorEastAsia"/>
          <w:sz w:val="28"/>
          <w:szCs w:val="28"/>
        </w:rPr>
        <w:t>呼和浩特市新城区新华大街87号奈伦国际A座10楼会议室</w:t>
      </w:r>
    </w:p>
    <w:p w14:paraId="5D7A4208">
      <w:pPr>
        <w:pStyle w:val="21"/>
        <w:ind w:firstLine="0" w:firstLineChars="0"/>
        <w:rPr>
          <w:rFonts w:hint="default" w:cs="仿宋" w:asciiTheme="minorEastAsia" w:hAnsiTheme="minorEastAsia"/>
          <w:sz w:val="28"/>
          <w:szCs w:val="28"/>
          <w:lang w:val="en-US" w:eastAsia="zh-CN"/>
        </w:rPr>
      </w:pPr>
      <w:r>
        <w:rPr>
          <w:rFonts w:hint="eastAsia" w:ascii="黑体" w:hAnsi="黑体" w:eastAsia="黑体" w:cs="黑体"/>
          <w:b/>
          <w:bCs/>
          <w:sz w:val="28"/>
          <w:szCs w:val="28"/>
          <w:lang w:eastAsia="zh-CN"/>
        </w:rPr>
        <w:t>六、特殊要求：</w:t>
      </w:r>
      <w:r>
        <w:rPr>
          <w:rFonts w:hint="eastAsia" w:cs="仿宋" w:asciiTheme="minorEastAsia" w:hAnsiTheme="minorEastAsia"/>
          <w:sz w:val="28"/>
          <w:szCs w:val="28"/>
          <w:lang w:eastAsia="zh-CN"/>
        </w:rPr>
        <w:t>为防止恶意竞价，报名单位超过</w:t>
      </w:r>
      <w:r>
        <w:rPr>
          <w:rFonts w:hint="eastAsia" w:cs="仿宋" w:asciiTheme="minorEastAsia" w:hAnsiTheme="minorEastAsia"/>
          <w:sz w:val="28"/>
          <w:szCs w:val="28"/>
          <w:lang w:val="en-US" w:eastAsia="zh-CN"/>
        </w:rPr>
        <w:t>5家及大于等于5家会采用去掉最高价及最低价的评审方式。</w:t>
      </w:r>
    </w:p>
    <w:p w14:paraId="53838E50">
      <w:pPr>
        <w:pStyle w:val="21"/>
        <w:ind w:firstLine="0" w:firstLineChars="0"/>
        <w:rPr>
          <w:rFonts w:ascii="黑体" w:hAnsi="黑体" w:eastAsia="黑体" w:cs="黑体"/>
          <w:b/>
          <w:bCs/>
          <w:sz w:val="28"/>
          <w:szCs w:val="28"/>
        </w:rPr>
      </w:pPr>
      <w:r>
        <w:rPr>
          <w:rFonts w:hint="eastAsia" w:ascii="黑体" w:hAnsi="黑体" w:eastAsia="黑体" w:cs="黑体"/>
          <w:b/>
          <w:bCs/>
          <w:sz w:val="28"/>
          <w:szCs w:val="28"/>
          <w:lang w:eastAsia="zh-CN"/>
        </w:rPr>
        <w:t>七</w:t>
      </w:r>
      <w:r>
        <w:rPr>
          <w:rFonts w:hint="eastAsia" w:ascii="黑体" w:hAnsi="黑体" w:eastAsia="黑体" w:cs="黑体"/>
          <w:b/>
          <w:bCs/>
          <w:sz w:val="28"/>
          <w:szCs w:val="28"/>
        </w:rPr>
        <w:t>、联系方式：</w:t>
      </w:r>
    </w:p>
    <w:p w14:paraId="708993A2">
      <w:pPr>
        <w:pStyle w:val="21"/>
        <w:snapToGrid w:val="0"/>
        <w:spacing w:line="360" w:lineRule="auto"/>
        <w:ind w:left="720" w:firstLine="0" w:firstLineChars="0"/>
        <w:jc w:val="left"/>
        <w:rPr>
          <w:rFonts w:cs="仿宋" w:asciiTheme="minorEastAsia" w:hAnsiTheme="minorEastAsia"/>
          <w:sz w:val="28"/>
          <w:szCs w:val="28"/>
        </w:rPr>
      </w:pPr>
      <w:r>
        <w:rPr>
          <w:rFonts w:hint="eastAsia" w:cs="仿宋" w:asciiTheme="minorEastAsia" w:hAnsiTheme="minorEastAsia"/>
          <w:sz w:val="28"/>
          <w:szCs w:val="28"/>
        </w:rPr>
        <w:t>采购人：内蒙古地质工程有限责任公司</w:t>
      </w:r>
    </w:p>
    <w:p w14:paraId="51885AF7">
      <w:pPr>
        <w:pStyle w:val="21"/>
        <w:snapToGrid w:val="0"/>
        <w:spacing w:line="360" w:lineRule="auto"/>
        <w:ind w:left="720" w:firstLine="0" w:firstLineChars="0"/>
        <w:jc w:val="left"/>
        <w:rPr>
          <w:rFonts w:cs="仿宋" w:asciiTheme="minorEastAsia" w:hAnsiTheme="minorEastAsia"/>
          <w:sz w:val="28"/>
          <w:szCs w:val="28"/>
        </w:rPr>
      </w:pPr>
      <w:r>
        <w:rPr>
          <w:rFonts w:hint="eastAsia" w:cs="仿宋" w:asciiTheme="minorEastAsia" w:hAnsiTheme="minorEastAsia"/>
          <w:sz w:val="28"/>
          <w:szCs w:val="28"/>
        </w:rPr>
        <w:t>地   址：内蒙古自治区呼和浩特市新城区新华东街87号奈伦国际A座8-10层</w:t>
      </w:r>
    </w:p>
    <w:p w14:paraId="623EA6B5">
      <w:pPr>
        <w:pStyle w:val="21"/>
        <w:snapToGrid w:val="0"/>
        <w:spacing w:line="360" w:lineRule="auto"/>
        <w:ind w:left="720" w:firstLine="0" w:firstLineChars="0"/>
        <w:jc w:val="left"/>
        <w:rPr>
          <w:rFonts w:cs="仿宋" w:asciiTheme="minorEastAsia" w:hAnsiTheme="minorEastAsia"/>
          <w:sz w:val="28"/>
          <w:szCs w:val="28"/>
        </w:rPr>
      </w:pPr>
      <w:r>
        <w:rPr>
          <w:rFonts w:hint="eastAsia" w:cs="仿宋" w:asciiTheme="minorEastAsia" w:hAnsiTheme="minorEastAsia"/>
          <w:sz w:val="28"/>
          <w:szCs w:val="28"/>
        </w:rPr>
        <w:t>联 系 人：栗健强</w:t>
      </w:r>
    </w:p>
    <w:p w14:paraId="24F1316E">
      <w:pPr>
        <w:pStyle w:val="21"/>
        <w:snapToGrid w:val="0"/>
        <w:spacing w:line="360" w:lineRule="auto"/>
        <w:ind w:left="720" w:firstLine="0" w:firstLineChars="0"/>
        <w:jc w:val="left"/>
        <w:rPr>
          <w:rFonts w:hint="eastAsia" w:cs="仿宋" w:asciiTheme="minorEastAsia" w:hAnsiTheme="minorEastAsia"/>
          <w:sz w:val="28"/>
          <w:szCs w:val="28"/>
        </w:rPr>
      </w:pPr>
      <w:r>
        <w:rPr>
          <w:rFonts w:hint="eastAsia" w:cs="仿宋" w:asciiTheme="minorEastAsia" w:hAnsiTheme="minorEastAsia"/>
          <w:sz w:val="28"/>
          <w:szCs w:val="28"/>
        </w:rPr>
        <w:t>电   话：15847776508</w:t>
      </w:r>
    </w:p>
    <w:p w14:paraId="5B92C240">
      <w:pPr>
        <w:pStyle w:val="21"/>
        <w:numPr>
          <w:ilvl w:val="0"/>
          <w:numId w:val="0"/>
        </w:numPr>
        <w:ind w:leftChars="0"/>
        <w:rPr>
          <w:rFonts w:cs="仿宋" w:asciiTheme="minorEastAsia" w:hAnsiTheme="minorEastAsia"/>
          <w:b/>
          <w:bCs/>
          <w:sz w:val="28"/>
          <w:szCs w:val="28"/>
          <w:highlight w:val="none"/>
        </w:rPr>
      </w:pPr>
      <w:r>
        <w:rPr>
          <w:rFonts w:hint="eastAsia" w:ascii="黑体" w:hAnsi="黑体" w:eastAsia="黑体" w:cs="黑体"/>
          <w:b/>
          <w:bCs/>
          <w:sz w:val="28"/>
          <w:szCs w:val="28"/>
          <w:lang w:eastAsia="zh-CN"/>
        </w:rPr>
        <w:t>八、</w:t>
      </w:r>
      <w:r>
        <w:rPr>
          <w:rFonts w:hint="eastAsia" w:cs="仿宋" w:asciiTheme="minorEastAsia" w:hAnsiTheme="minorEastAsia"/>
          <w:b/>
          <w:bCs/>
          <w:sz w:val="28"/>
          <w:szCs w:val="28"/>
          <w:highlight w:val="none"/>
        </w:rPr>
        <w:t>公布及报名时间：2025年</w:t>
      </w:r>
      <w:r>
        <w:rPr>
          <w:rFonts w:hint="eastAsia" w:cs="仿宋" w:asciiTheme="minorEastAsia" w:hAnsiTheme="minorEastAsia"/>
          <w:b/>
          <w:bCs/>
          <w:sz w:val="28"/>
          <w:szCs w:val="28"/>
          <w:highlight w:val="none"/>
          <w:lang w:val="en-US" w:eastAsia="zh-CN"/>
        </w:rPr>
        <w:t>9</w:t>
      </w:r>
      <w:r>
        <w:rPr>
          <w:rFonts w:hint="eastAsia" w:cs="仿宋" w:asciiTheme="minorEastAsia" w:hAnsiTheme="minorEastAsia"/>
          <w:b/>
          <w:bCs/>
          <w:sz w:val="28"/>
          <w:szCs w:val="28"/>
          <w:highlight w:val="none"/>
        </w:rPr>
        <w:t>月</w:t>
      </w:r>
      <w:r>
        <w:rPr>
          <w:rFonts w:hint="eastAsia" w:cs="仿宋" w:asciiTheme="minorEastAsia" w:hAnsiTheme="minorEastAsia"/>
          <w:b/>
          <w:bCs/>
          <w:sz w:val="28"/>
          <w:szCs w:val="28"/>
          <w:highlight w:val="none"/>
          <w:lang w:val="en-US" w:eastAsia="zh-CN"/>
        </w:rPr>
        <w:t>9</w:t>
      </w:r>
      <w:r>
        <w:rPr>
          <w:rFonts w:hint="eastAsia" w:cs="仿宋" w:asciiTheme="minorEastAsia" w:hAnsiTheme="minorEastAsia"/>
          <w:b/>
          <w:bCs/>
          <w:sz w:val="28"/>
          <w:szCs w:val="28"/>
          <w:highlight w:val="none"/>
        </w:rPr>
        <w:t>日</w:t>
      </w:r>
      <w:r>
        <w:rPr>
          <w:rFonts w:cs="仿宋" w:asciiTheme="minorEastAsia" w:hAnsiTheme="minorEastAsia"/>
          <w:b/>
          <w:bCs/>
          <w:sz w:val="28"/>
          <w:szCs w:val="28"/>
          <w:highlight w:val="none"/>
        </w:rPr>
        <w:t>—</w:t>
      </w:r>
      <w:r>
        <w:rPr>
          <w:rFonts w:hint="eastAsia" w:cs="仿宋" w:asciiTheme="minorEastAsia" w:hAnsiTheme="minorEastAsia"/>
          <w:b/>
          <w:bCs/>
          <w:sz w:val="28"/>
          <w:szCs w:val="28"/>
          <w:highlight w:val="none"/>
        </w:rPr>
        <w:t>2025年</w:t>
      </w:r>
      <w:r>
        <w:rPr>
          <w:rFonts w:hint="eastAsia" w:cs="仿宋" w:asciiTheme="minorEastAsia" w:hAnsiTheme="minorEastAsia"/>
          <w:b/>
          <w:bCs/>
          <w:sz w:val="28"/>
          <w:szCs w:val="28"/>
          <w:highlight w:val="none"/>
          <w:lang w:val="en-US" w:eastAsia="zh-CN"/>
        </w:rPr>
        <w:t>9</w:t>
      </w:r>
      <w:r>
        <w:rPr>
          <w:rFonts w:hint="eastAsia" w:cs="仿宋" w:asciiTheme="minorEastAsia" w:hAnsiTheme="minorEastAsia"/>
          <w:b/>
          <w:bCs/>
          <w:sz w:val="28"/>
          <w:szCs w:val="28"/>
          <w:highlight w:val="none"/>
        </w:rPr>
        <w:t>月</w:t>
      </w:r>
      <w:r>
        <w:rPr>
          <w:rFonts w:hint="eastAsia" w:cs="仿宋" w:asciiTheme="minorEastAsia" w:hAnsiTheme="minorEastAsia"/>
          <w:b/>
          <w:bCs/>
          <w:sz w:val="28"/>
          <w:szCs w:val="28"/>
          <w:highlight w:val="none"/>
          <w:lang w:val="en-US" w:eastAsia="zh-CN"/>
        </w:rPr>
        <w:t>11</w:t>
      </w:r>
      <w:r>
        <w:rPr>
          <w:rFonts w:hint="eastAsia" w:cs="仿宋" w:asciiTheme="minorEastAsia" w:hAnsiTheme="minorEastAsia"/>
          <w:b/>
          <w:bCs/>
          <w:sz w:val="28"/>
          <w:szCs w:val="28"/>
          <w:highlight w:val="none"/>
        </w:rPr>
        <w:t>日。</w:t>
      </w:r>
    </w:p>
    <w:p w14:paraId="5BAC2CB4">
      <w:pPr>
        <w:pStyle w:val="21"/>
        <w:ind w:firstLine="0" w:firstLineChars="0"/>
        <w:rPr>
          <w:rFonts w:hint="eastAsia" w:ascii="黑体" w:hAnsi="黑体" w:eastAsia="黑体" w:cs="黑体"/>
          <w:b/>
          <w:bCs/>
          <w:sz w:val="28"/>
          <w:szCs w:val="28"/>
          <w:lang w:eastAsia="zh-CN"/>
        </w:rPr>
      </w:pPr>
    </w:p>
    <w:p w14:paraId="225D9247">
      <w:pPr>
        <w:pStyle w:val="21"/>
        <w:snapToGrid w:val="0"/>
        <w:spacing w:line="360" w:lineRule="auto"/>
        <w:ind w:left="0" w:leftChars="0" w:firstLine="0" w:firstLineChars="0"/>
        <w:jc w:val="left"/>
        <w:rPr>
          <w:rFonts w:hint="eastAsia" w:cs="仿宋" w:asciiTheme="minorEastAsia" w:hAnsiTheme="minorEastAsia"/>
          <w:sz w:val="28"/>
          <w:szCs w:val="28"/>
        </w:rPr>
      </w:pPr>
    </w:p>
    <w:p w14:paraId="136469C3">
      <w:pPr>
        <w:pStyle w:val="9"/>
        <w:spacing w:line="240" w:lineRule="auto"/>
        <w:ind w:left="720" w:firstLine="0" w:firstLineChars="0"/>
        <w:jc w:val="both"/>
        <w:rPr>
          <w:rFonts w:cs="仿宋" w:asciiTheme="minorEastAsia" w:hAnsiTheme="minorEastAsia" w:eastAsiaTheme="minorEastAsia"/>
          <w:color w:val="1F497D" w:themeColor="text2"/>
          <w:sz w:val="28"/>
          <w:szCs w:val="28"/>
          <w:lang w:eastAsia="zh-CN"/>
        </w:rPr>
      </w:pPr>
    </w:p>
    <w:p w14:paraId="41E0744B">
      <w:pPr>
        <w:pStyle w:val="21"/>
        <w:adjustRightInd w:val="0"/>
        <w:snapToGrid w:val="0"/>
        <w:spacing w:line="360" w:lineRule="auto"/>
        <w:ind w:left="720" w:firstLine="0" w:firstLineChars="0"/>
        <w:rPr>
          <w:rFonts w:asciiTheme="minorEastAsia" w:hAnsiTheme="minorEastAsia"/>
          <w:b/>
          <w:color w:val="1F497D" w:themeColor="text2"/>
          <w:sz w:val="28"/>
          <w:szCs w:val="28"/>
        </w:rPr>
      </w:pPr>
      <w:bookmarkStart w:id="42" w:name="_GoBack"/>
      <w:bookmarkEnd w:id="42"/>
    </w:p>
    <w:p w14:paraId="3EE66985">
      <w:pPr>
        <w:pStyle w:val="23"/>
        <w:spacing w:beforeLines="50" w:line="360" w:lineRule="auto"/>
        <w:ind w:left="720"/>
        <w:jc w:val="both"/>
        <w:rPr>
          <w:rFonts w:asciiTheme="minorEastAsia" w:hAnsiTheme="minorEastAsia" w:eastAsiaTheme="minorEastAsia"/>
          <w:color w:val="1F497D" w:themeColor="text2"/>
          <w:sz w:val="28"/>
          <w:szCs w:val="28"/>
        </w:rPr>
      </w:pPr>
    </w:p>
    <w:p w14:paraId="530E28D9">
      <w:pPr>
        <w:pStyle w:val="23"/>
        <w:spacing w:beforeLines="50" w:line="360" w:lineRule="auto"/>
        <w:jc w:val="both"/>
        <w:rPr>
          <w:rFonts w:ascii="宋体" w:hAnsi="宋体" w:eastAsia="宋体"/>
          <w:color w:val="1F497D" w:themeColor="text2"/>
          <w:spacing w:val="0"/>
          <w:sz w:val="28"/>
          <w:szCs w:val="28"/>
        </w:rPr>
      </w:pPr>
    </w:p>
    <w:p w14:paraId="56F40702">
      <w:pPr>
        <w:rPr>
          <w:rFonts w:cs="仿宋" w:asciiTheme="minorEastAsia" w:hAnsiTheme="minorEastAsia"/>
          <w:b/>
          <w:bCs/>
          <w:color w:val="1F497D" w:themeColor="text2"/>
          <w:sz w:val="28"/>
          <w:szCs w:val="28"/>
        </w:rPr>
      </w:pPr>
    </w:p>
    <w:p w14:paraId="1C61E6C5">
      <w:pPr>
        <w:rPr>
          <w:rFonts w:cs="仿宋" w:asciiTheme="minorEastAsia" w:hAnsiTheme="minorEastAsia"/>
          <w:b/>
          <w:bCs/>
          <w:color w:val="1F497D" w:themeColor="text2"/>
          <w:sz w:val="28"/>
          <w:szCs w:val="28"/>
        </w:rPr>
      </w:pPr>
    </w:p>
    <w:p w14:paraId="2054E9CF">
      <w:pPr>
        <w:rPr>
          <w:rFonts w:cs="仿宋" w:asciiTheme="minorEastAsia" w:hAnsiTheme="minorEastAsia"/>
          <w:b/>
          <w:bCs/>
          <w:color w:val="1F497D" w:themeColor="text2"/>
          <w:sz w:val="28"/>
          <w:szCs w:val="28"/>
        </w:rPr>
      </w:pPr>
    </w:p>
    <w:p w14:paraId="633E6828">
      <w:pPr>
        <w:rPr>
          <w:rFonts w:asciiTheme="minorEastAsia" w:hAnsiTheme="minorEastAsia"/>
          <w:color w:val="1F497D" w:themeColor="text2"/>
          <w:sz w:val="36"/>
          <w:szCs w:val="36"/>
        </w:rPr>
      </w:pPr>
    </w:p>
    <w:p w14:paraId="2E06B446">
      <w:pPr>
        <w:rPr>
          <w:rFonts w:asciiTheme="minorEastAsia" w:hAnsiTheme="minorEastAsia"/>
          <w:color w:val="1F497D" w:themeColor="text2"/>
          <w:sz w:val="36"/>
          <w:szCs w:val="36"/>
        </w:rPr>
      </w:pPr>
    </w:p>
    <w:p w14:paraId="60C79693">
      <w:pPr>
        <w:rPr>
          <w:rFonts w:asciiTheme="minorEastAsia" w:hAnsiTheme="minorEastAsia"/>
          <w:color w:val="1F497D" w:themeColor="text2"/>
          <w:sz w:val="36"/>
          <w:szCs w:val="36"/>
        </w:rPr>
      </w:pPr>
    </w:p>
    <w:p w14:paraId="66E22F3E">
      <w:pPr>
        <w:rPr>
          <w:rFonts w:asciiTheme="minorEastAsia" w:hAnsiTheme="minorEastAsia"/>
          <w:color w:val="1F497D" w:themeColor="text2"/>
          <w:sz w:val="36"/>
          <w:szCs w:val="36"/>
        </w:rPr>
      </w:pPr>
    </w:p>
    <w:p w14:paraId="40182B28">
      <w:pPr>
        <w:rPr>
          <w:rFonts w:asciiTheme="minorEastAsia" w:hAnsiTheme="minorEastAsia"/>
          <w:color w:val="1F497D" w:themeColor="text2"/>
          <w:sz w:val="36"/>
          <w:szCs w:val="36"/>
        </w:rPr>
      </w:pPr>
    </w:p>
    <w:p w14:paraId="65A5F113">
      <w:pPr>
        <w:rPr>
          <w:rFonts w:asciiTheme="minorEastAsia" w:hAnsiTheme="minorEastAsia"/>
          <w:color w:val="1F497D" w:themeColor="text2"/>
          <w:sz w:val="36"/>
          <w:szCs w:val="36"/>
        </w:rPr>
      </w:pPr>
    </w:p>
    <w:p w14:paraId="2D9FAA8F">
      <w:pPr>
        <w:rPr>
          <w:rFonts w:asciiTheme="minorEastAsia" w:hAnsiTheme="minorEastAsia"/>
          <w:color w:val="1F497D" w:themeColor="text2"/>
          <w:sz w:val="36"/>
          <w:szCs w:val="36"/>
        </w:rPr>
      </w:pPr>
    </w:p>
    <w:p w14:paraId="17B885F6">
      <w:pPr>
        <w:rPr>
          <w:rFonts w:asciiTheme="minorEastAsia" w:hAnsiTheme="minorEastAsia"/>
          <w:color w:val="1F497D" w:themeColor="text2"/>
          <w:sz w:val="36"/>
          <w:szCs w:val="36"/>
        </w:rPr>
      </w:pPr>
    </w:p>
    <w:p w14:paraId="4692C96A">
      <w:pPr>
        <w:spacing w:line="360" w:lineRule="auto"/>
        <w:ind w:firstLine="602" w:firstLineChars="200"/>
        <w:jc w:val="center"/>
        <w:outlineLvl w:val="2"/>
        <w:rPr>
          <w:rFonts w:ascii="宋体" w:hAnsi="宋体" w:eastAsia="宋体" w:cs="宋体"/>
          <w:b/>
          <w:color w:val="000000"/>
          <w:kern w:val="0"/>
          <w:sz w:val="30"/>
          <w:szCs w:val="30"/>
        </w:rPr>
      </w:pPr>
      <w:bookmarkStart w:id="1" w:name="_Toc21248"/>
      <w:bookmarkStart w:id="2" w:name="_Toc346617309"/>
      <w:bookmarkStart w:id="3" w:name="_Toc389658216"/>
      <w:r>
        <w:rPr>
          <w:rFonts w:hint="eastAsia" w:ascii="宋体" w:hAnsi="宋体" w:eastAsia="宋体" w:cs="宋体"/>
          <w:b/>
          <w:color w:val="000000"/>
          <w:kern w:val="0"/>
          <w:sz w:val="30"/>
          <w:szCs w:val="30"/>
        </w:rPr>
        <w:t>第二章  供应商须知</w:t>
      </w:r>
      <w:bookmarkEnd w:id="1"/>
    </w:p>
    <w:p w14:paraId="479730CA">
      <w:pPr>
        <w:spacing w:line="360" w:lineRule="auto"/>
        <w:ind w:firstLine="562" w:firstLineChars="200"/>
        <w:outlineLvl w:val="2"/>
        <w:rPr>
          <w:rFonts w:ascii="黑体" w:hAnsi="黑体" w:eastAsia="黑体" w:cs="黑体"/>
          <w:b/>
          <w:color w:val="000000"/>
          <w:kern w:val="0"/>
          <w:sz w:val="28"/>
          <w:szCs w:val="28"/>
        </w:rPr>
      </w:pPr>
      <w:bookmarkStart w:id="4" w:name="_Toc14101"/>
      <w:r>
        <w:rPr>
          <w:rFonts w:hint="eastAsia" w:ascii="黑体" w:hAnsi="黑体" w:eastAsia="黑体" w:cs="黑体"/>
          <w:b/>
          <w:color w:val="000000"/>
          <w:kern w:val="0"/>
          <w:sz w:val="28"/>
          <w:szCs w:val="28"/>
        </w:rPr>
        <w:t>一、适用范围</w:t>
      </w:r>
      <w:bookmarkEnd w:id="2"/>
      <w:bookmarkEnd w:id="3"/>
      <w:bookmarkEnd w:id="4"/>
    </w:p>
    <w:p w14:paraId="138ACDDA">
      <w:pPr>
        <w:pStyle w:val="24"/>
        <w:spacing w:line="360" w:lineRule="auto"/>
        <w:ind w:firstLine="584"/>
        <w:rPr>
          <w:rFonts w:ascii="宋体" w:hAnsi="宋体"/>
          <w:sz w:val="28"/>
          <w:szCs w:val="28"/>
        </w:rPr>
      </w:pPr>
      <w:r>
        <w:rPr>
          <w:rFonts w:hint="eastAsia" w:ascii="宋体" w:hAnsi="宋体"/>
          <w:sz w:val="28"/>
          <w:szCs w:val="28"/>
        </w:rPr>
        <w:t>本竞争性谈判文件仅适用于本次竞争性谈判文件中所叙述的项目。通过竞争性谈判方式择优选择成交供应商。</w:t>
      </w:r>
    </w:p>
    <w:p w14:paraId="333E08D1">
      <w:pPr>
        <w:spacing w:line="360" w:lineRule="auto"/>
        <w:ind w:firstLine="562" w:firstLineChars="200"/>
        <w:outlineLvl w:val="2"/>
        <w:rPr>
          <w:rFonts w:ascii="黑体" w:hAnsi="黑体" w:eastAsia="黑体" w:cs="黑体"/>
          <w:b/>
          <w:color w:val="000000"/>
          <w:kern w:val="0"/>
          <w:sz w:val="28"/>
          <w:szCs w:val="28"/>
        </w:rPr>
      </w:pPr>
      <w:bookmarkStart w:id="5" w:name="_Toc346617313"/>
      <w:bookmarkStart w:id="6" w:name="_Toc389658220"/>
      <w:bookmarkStart w:id="7" w:name="_Toc183264287"/>
      <w:bookmarkStart w:id="8" w:name="_Toc1932"/>
      <w:r>
        <w:rPr>
          <w:rFonts w:hint="eastAsia" w:ascii="黑体" w:hAnsi="黑体" w:eastAsia="黑体" w:cs="黑体"/>
          <w:b/>
          <w:color w:val="000000"/>
          <w:kern w:val="0"/>
          <w:sz w:val="28"/>
          <w:szCs w:val="28"/>
        </w:rPr>
        <w:t>二、报价文件的编写</w:t>
      </w:r>
      <w:bookmarkEnd w:id="5"/>
      <w:bookmarkEnd w:id="6"/>
      <w:bookmarkEnd w:id="7"/>
      <w:bookmarkEnd w:id="8"/>
    </w:p>
    <w:p w14:paraId="3A0EC267">
      <w:pPr>
        <w:pStyle w:val="24"/>
        <w:spacing w:line="360" w:lineRule="auto"/>
        <w:ind w:firstLine="584"/>
        <w:rPr>
          <w:rFonts w:ascii="宋体" w:hAnsi="宋体"/>
          <w:sz w:val="28"/>
          <w:szCs w:val="28"/>
        </w:rPr>
      </w:pPr>
      <w:r>
        <w:rPr>
          <w:rFonts w:hint="eastAsia" w:ascii="宋体" w:hAnsi="宋体"/>
          <w:sz w:val="28"/>
          <w:szCs w:val="28"/>
        </w:rPr>
        <w:t>供应商应仔细阅读竞争性谈判文件的所有内容，按竞争性谈判文件的要求提供报价文件，并保证所提供的全部资料的真实性、准确性及完整性，以使其报价对竞争性谈判文件做出实质性响应。否则，其报价有可能被拒绝或被视为无效。</w:t>
      </w:r>
    </w:p>
    <w:p w14:paraId="0A82B635">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（一）报价文件的组成</w:t>
      </w:r>
    </w:p>
    <w:p w14:paraId="74375593">
      <w:pPr>
        <w:pStyle w:val="24"/>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供应商应按竞争性谈判文件的要求编写报价文件，提交证明其有资格进行报价和有能力履行合同的文件。</w:t>
      </w:r>
    </w:p>
    <w:p w14:paraId="1E0601D0">
      <w:pPr>
        <w:spacing w:line="360" w:lineRule="auto"/>
        <w:ind w:firstLine="562" w:firstLineChars="200"/>
        <w:rPr>
          <w:rFonts w:asciiTheme="majorEastAsia" w:hAnsiTheme="majorEastAsia" w:eastAsiaTheme="majorEastAsia"/>
          <w:b/>
          <w:bCs/>
          <w:sz w:val="28"/>
          <w:szCs w:val="28"/>
          <w:u w:val="single"/>
        </w:rPr>
      </w:pPr>
      <w:r>
        <w:rPr>
          <w:rFonts w:hint="eastAsia" w:asciiTheme="majorEastAsia" w:hAnsiTheme="majorEastAsia" w:eastAsiaTheme="majorEastAsia"/>
          <w:b/>
          <w:bCs/>
          <w:sz w:val="28"/>
          <w:szCs w:val="28"/>
          <w:u w:val="single"/>
        </w:rPr>
        <w:t>报价文件由报价函部分、资格审查部分、商务部分、技术方案四部分组成。</w:t>
      </w:r>
    </w:p>
    <w:p w14:paraId="2892046A">
      <w:pPr>
        <w:spacing w:line="360" w:lineRule="auto"/>
        <w:ind w:firstLine="562" w:firstLineChars="200"/>
        <w:rPr>
          <w:rFonts w:asciiTheme="majorEastAsia" w:hAnsiTheme="majorEastAsia" w:eastAsiaTheme="majorEastAsia"/>
          <w:b/>
          <w:sz w:val="28"/>
          <w:szCs w:val="28"/>
        </w:rPr>
      </w:pPr>
      <w:r>
        <w:rPr>
          <w:rFonts w:hint="eastAsia" w:asciiTheme="majorEastAsia" w:hAnsiTheme="majorEastAsia" w:eastAsiaTheme="majorEastAsia"/>
          <w:b/>
          <w:sz w:val="28"/>
          <w:szCs w:val="28"/>
        </w:rPr>
        <w:t>1.报价函部分</w:t>
      </w:r>
    </w:p>
    <w:p w14:paraId="77E4B155">
      <w:pPr>
        <w:pStyle w:val="24"/>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(1)报价函</w:t>
      </w:r>
    </w:p>
    <w:p w14:paraId="73110AEE">
      <w:pPr>
        <w:pStyle w:val="24"/>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(2)法定代表人授权委托书</w:t>
      </w:r>
    </w:p>
    <w:p w14:paraId="07FD164F">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(3)报价一览表</w:t>
      </w:r>
    </w:p>
    <w:p w14:paraId="1BB24D17">
      <w:pPr>
        <w:spacing w:line="360" w:lineRule="auto"/>
        <w:ind w:firstLine="562" w:firstLineChars="200"/>
        <w:rPr>
          <w:rFonts w:asciiTheme="majorEastAsia" w:hAnsiTheme="majorEastAsia" w:eastAsiaTheme="majorEastAsia"/>
          <w:b/>
          <w:sz w:val="28"/>
          <w:szCs w:val="28"/>
        </w:rPr>
      </w:pPr>
      <w:r>
        <w:rPr>
          <w:rFonts w:hint="eastAsia" w:asciiTheme="majorEastAsia" w:hAnsiTheme="majorEastAsia" w:eastAsiaTheme="majorEastAsia"/>
          <w:b/>
          <w:sz w:val="28"/>
          <w:szCs w:val="28"/>
        </w:rPr>
        <w:t>2.资格审查部分</w:t>
      </w:r>
    </w:p>
    <w:p w14:paraId="69DFA5FE">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(1)有关证明供应商法律地位的原始文件副本（包括营业执照、资质证书等）；</w:t>
      </w:r>
    </w:p>
    <w:p w14:paraId="4C1A6D78">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(2)供应商要求提供的其他资格证明文件。</w:t>
      </w:r>
    </w:p>
    <w:p w14:paraId="32B82CDB">
      <w:pPr>
        <w:pStyle w:val="26"/>
        <w:spacing w:line="360" w:lineRule="auto"/>
        <w:ind w:firstLine="586"/>
        <w:rPr>
          <w:rFonts w:asciiTheme="majorEastAsia" w:hAnsiTheme="majorEastAsia" w:eastAsiaTheme="majorEastAsia"/>
          <w:sz w:val="28"/>
          <w:szCs w:val="28"/>
        </w:rPr>
      </w:pPr>
      <w:r>
        <w:rPr>
          <w:rFonts w:hint="eastAsia" w:asciiTheme="majorEastAsia" w:hAnsiTheme="majorEastAsia" w:eastAsiaTheme="majorEastAsia"/>
          <w:b/>
          <w:sz w:val="28"/>
          <w:szCs w:val="28"/>
        </w:rPr>
        <w:t>3.商务部分</w:t>
      </w:r>
    </w:p>
    <w:p w14:paraId="731372E8">
      <w:pPr>
        <w:pStyle w:val="26"/>
        <w:spacing w:line="360" w:lineRule="auto"/>
        <w:ind w:firstLine="636" w:firstLineChars="218"/>
        <w:rPr>
          <w:rFonts w:asciiTheme="majorEastAsia" w:hAnsiTheme="majorEastAsia" w:eastAsiaTheme="majorEastAsia"/>
          <w:sz w:val="28"/>
          <w:szCs w:val="28"/>
        </w:rPr>
      </w:pPr>
      <w:r>
        <w:rPr>
          <w:rFonts w:hint="eastAsia" w:asciiTheme="majorEastAsia" w:hAnsiTheme="majorEastAsia" w:eastAsiaTheme="majorEastAsia"/>
          <w:sz w:val="28"/>
          <w:szCs w:val="28"/>
        </w:rPr>
        <w:t>(1)关于质量、工期、服务等方面的承诺及合理化建议；</w:t>
      </w:r>
    </w:p>
    <w:p w14:paraId="1316BB58">
      <w:pPr>
        <w:pStyle w:val="26"/>
        <w:spacing w:line="360" w:lineRule="auto"/>
        <w:ind w:firstLine="636" w:firstLineChars="218"/>
        <w:rPr>
          <w:rFonts w:asciiTheme="majorEastAsia" w:hAnsiTheme="majorEastAsia" w:eastAsiaTheme="majorEastAsia"/>
          <w:sz w:val="28"/>
          <w:szCs w:val="28"/>
        </w:rPr>
      </w:pPr>
      <w:r>
        <w:rPr>
          <w:rFonts w:hint="eastAsia" w:asciiTheme="majorEastAsia" w:hAnsiTheme="majorEastAsia" w:eastAsiaTheme="majorEastAsia"/>
          <w:sz w:val="28"/>
          <w:szCs w:val="28"/>
        </w:rPr>
        <w:t>(2)供应商在过去三年中完成的类似项目情况；</w:t>
      </w:r>
    </w:p>
    <w:p w14:paraId="4B446075">
      <w:pPr>
        <w:pStyle w:val="26"/>
        <w:spacing w:line="360" w:lineRule="auto"/>
        <w:ind w:firstLine="636" w:firstLineChars="218"/>
        <w:rPr>
          <w:rFonts w:asciiTheme="majorEastAsia" w:hAnsiTheme="majorEastAsia" w:eastAsiaTheme="majorEastAsia"/>
          <w:sz w:val="28"/>
          <w:szCs w:val="28"/>
        </w:rPr>
      </w:pPr>
      <w:r>
        <w:rPr>
          <w:rFonts w:hint="eastAsia" w:asciiTheme="majorEastAsia" w:hAnsiTheme="majorEastAsia" w:eastAsiaTheme="majorEastAsia"/>
          <w:sz w:val="28"/>
          <w:szCs w:val="28"/>
        </w:rPr>
        <w:t>(3)供应商认为需要提供的其他表格及资料。</w:t>
      </w:r>
    </w:p>
    <w:p w14:paraId="0EACEA65">
      <w:pPr>
        <w:pStyle w:val="26"/>
        <w:spacing w:line="360" w:lineRule="auto"/>
        <w:ind w:firstLine="586"/>
        <w:rPr>
          <w:rFonts w:asciiTheme="majorEastAsia" w:hAnsiTheme="majorEastAsia" w:eastAsiaTheme="majorEastAsia"/>
          <w:sz w:val="28"/>
          <w:szCs w:val="28"/>
        </w:rPr>
      </w:pPr>
      <w:r>
        <w:rPr>
          <w:rFonts w:hint="eastAsia" w:asciiTheme="majorEastAsia" w:hAnsiTheme="majorEastAsia" w:eastAsiaTheme="majorEastAsia"/>
          <w:b/>
          <w:sz w:val="28"/>
          <w:szCs w:val="28"/>
        </w:rPr>
        <w:t>4.技术部分</w:t>
      </w:r>
    </w:p>
    <w:p w14:paraId="19820F46">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(1)施工组织设计或施工方案</w:t>
      </w:r>
    </w:p>
    <w:p w14:paraId="156ECD0C">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(2)人员配备及经验业绩</w:t>
      </w:r>
    </w:p>
    <w:p w14:paraId="104B8B19">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①项目经理简历表以及项目经理的同类项目业绩；</w:t>
      </w:r>
    </w:p>
    <w:p w14:paraId="11356B5E">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②拟投入本项目的主要管理人员情况；</w:t>
      </w:r>
    </w:p>
    <w:p w14:paraId="7A953595">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③其他辅助说明资料、施工力量部署。</w:t>
      </w:r>
    </w:p>
    <w:p w14:paraId="2FBF6451">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(3)有必要说明的其他内容。</w:t>
      </w:r>
    </w:p>
    <w:p w14:paraId="061257F6">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（二）报价文件的编写方式</w:t>
      </w:r>
    </w:p>
    <w:p w14:paraId="40CC95E4">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1.报价文件按以上顺序装订成册(必须胶装)，并在首页编制“报价文件目录”。</w:t>
      </w:r>
    </w:p>
    <w:p w14:paraId="19BA9618">
      <w:pPr>
        <w:pStyle w:val="24"/>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2.报价文件正本和副本用A4幅面的纸张打印，并提供电子文档一份，以供备份。</w:t>
      </w:r>
    </w:p>
    <w:p w14:paraId="7278423E">
      <w:pPr>
        <w:pStyle w:val="24"/>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3.“报价一览表”用A4幅面，竖版。</w:t>
      </w:r>
    </w:p>
    <w:p w14:paraId="1D06E850">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（三）报价文件的递交</w:t>
      </w:r>
    </w:p>
    <w:p w14:paraId="60C7A421">
      <w:pPr>
        <w:pStyle w:val="24"/>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1.递交报价文件的地点和时间</w:t>
      </w:r>
    </w:p>
    <w:p w14:paraId="228BAC27">
      <w:pPr>
        <w:pStyle w:val="24"/>
        <w:spacing w:line="360" w:lineRule="auto"/>
        <w:ind w:firstLine="584"/>
        <w:rPr>
          <w:rFonts w:asciiTheme="majorEastAsia" w:hAnsiTheme="majorEastAsia" w:eastAsiaTheme="majorEastAsia"/>
          <w:sz w:val="28"/>
          <w:szCs w:val="28"/>
          <w:u w:val="single"/>
        </w:rPr>
      </w:pPr>
      <w:r>
        <w:rPr>
          <w:rFonts w:hint="eastAsia" w:asciiTheme="majorEastAsia" w:hAnsiTheme="majorEastAsia" w:eastAsiaTheme="majorEastAsia"/>
          <w:sz w:val="28"/>
          <w:szCs w:val="28"/>
        </w:rPr>
        <w:t>地点：</w:t>
      </w:r>
      <w:r>
        <w:rPr>
          <w:rFonts w:hint="eastAsia" w:asciiTheme="majorEastAsia" w:hAnsiTheme="majorEastAsia" w:eastAsiaTheme="majorEastAsia"/>
          <w:sz w:val="28"/>
          <w:szCs w:val="28"/>
          <w:u w:val="single"/>
        </w:rPr>
        <w:t>呼和浩特市新城区新华大街87号奈伦国际A座10楼会议室</w:t>
      </w:r>
    </w:p>
    <w:p w14:paraId="706A44A6">
      <w:pPr>
        <w:pStyle w:val="24"/>
        <w:spacing w:line="360" w:lineRule="auto"/>
        <w:ind w:firstLine="584"/>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截止时间：</w:t>
      </w:r>
      <w:r>
        <w:rPr>
          <w:rFonts w:hint="eastAsia" w:asciiTheme="majorEastAsia" w:hAnsiTheme="majorEastAsia" w:eastAsiaTheme="majorEastAsia"/>
          <w:color w:val="auto"/>
          <w:sz w:val="28"/>
          <w:szCs w:val="28"/>
          <w:highlight w:val="none"/>
          <w:u w:val="single"/>
        </w:rPr>
        <w:t>202</w:t>
      </w:r>
      <w:r>
        <w:rPr>
          <w:rFonts w:hint="eastAsia" w:asciiTheme="majorEastAsia" w:hAnsiTheme="majorEastAsia" w:eastAsiaTheme="majorEastAsia"/>
          <w:color w:val="auto"/>
          <w:sz w:val="28"/>
          <w:szCs w:val="28"/>
          <w:highlight w:val="none"/>
          <w:u w:val="single"/>
          <w:lang w:val="en-US" w:eastAsia="zh-CN"/>
        </w:rPr>
        <w:t>5</w:t>
      </w:r>
      <w:r>
        <w:rPr>
          <w:rFonts w:hint="eastAsia" w:asciiTheme="majorEastAsia" w:hAnsiTheme="majorEastAsia" w:eastAsiaTheme="majorEastAsia"/>
          <w:color w:val="auto"/>
          <w:sz w:val="28"/>
          <w:szCs w:val="28"/>
          <w:highlight w:val="none"/>
          <w:u w:val="single"/>
        </w:rPr>
        <w:t>年</w:t>
      </w:r>
      <w:r>
        <w:rPr>
          <w:rFonts w:hint="eastAsia" w:asciiTheme="majorEastAsia" w:hAnsiTheme="majorEastAsia" w:eastAsiaTheme="majorEastAsia"/>
          <w:color w:val="auto"/>
          <w:sz w:val="28"/>
          <w:szCs w:val="28"/>
          <w:highlight w:val="none"/>
          <w:u w:val="single"/>
          <w:lang w:val="en-US" w:eastAsia="zh-CN"/>
        </w:rPr>
        <w:t>9</w:t>
      </w:r>
      <w:r>
        <w:rPr>
          <w:rFonts w:hint="eastAsia" w:asciiTheme="majorEastAsia" w:hAnsiTheme="majorEastAsia" w:eastAsiaTheme="majorEastAsia"/>
          <w:color w:val="auto"/>
          <w:sz w:val="28"/>
          <w:szCs w:val="28"/>
          <w:highlight w:val="none"/>
          <w:u w:val="single"/>
        </w:rPr>
        <w:t>月</w:t>
      </w:r>
      <w:r>
        <w:rPr>
          <w:rFonts w:hint="eastAsia" w:asciiTheme="majorEastAsia" w:hAnsiTheme="majorEastAsia" w:eastAsiaTheme="majorEastAsia"/>
          <w:color w:val="auto"/>
          <w:sz w:val="28"/>
          <w:szCs w:val="28"/>
          <w:highlight w:val="none"/>
          <w:u w:val="single"/>
          <w:lang w:val="en-US" w:eastAsia="zh-CN"/>
        </w:rPr>
        <w:t>15</w:t>
      </w:r>
      <w:r>
        <w:rPr>
          <w:rFonts w:hint="eastAsia" w:asciiTheme="majorEastAsia" w:hAnsiTheme="majorEastAsia" w:eastAsiaTheme="majorEastAsia"/>
          <w:color w:val="auto"/>
          <w:sz w:val="28"/>
          <w:szCs w:val="28"/>
          <w:highlight w:val="none"/>
          <w:u w:val="single"/>
        </w:rPr>
        <w:t>日</w:t>
      </w:r>
      <w:r>
        <w:rPr>
          <w:rFonts w:hint="eastAsia" w:asciiTheme="majorEastAsia" w:hAnsiTheme="majorEastAsia" w:eastAsiaTheme="majorEastAsia"/>
          <w:color w:val="auto"/>
          <w:sz w:val="28"/>
          <w:szCs w:val="28"/>
          <w:highlight w:val="none"/>
        </w:rPr>
        <w:t>（北京时间）</w:t>
      </w:r>
    </w:p>
    <w:p w14:paraId="25874200">
      <w:pPr>
        <w:pStyle w:val="24"/>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2.供应商代表必须在报价截止时间前将报价文件送达指定地点。如因竞争性谈判文件的修改推迟报价截止日期的，则按采购单位通知规定的时间递交。</w:t>
      </w:r>
    </w:p>
    <w:p w14:paraId="0AD5B6EA">
      <w:pPr>
        <w:pStyle w:val="24"/>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3.采购单位收到报价文件后，供应商在签到处进行签到。</w:t>
      </w:r>
    </w:p>
    <w:p w14:paraId="77239E44">
      <w:pPr>
        <w:pStyle w:val="24"/>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4.电报、电话、传真、电子邮件等形式的报价文件概不接受。</w:t>
      </w:r>
    </w:p>
    <w:p w14:paraId="5BE4F4F1">
      <w:pPr>
        <w:pStyle w:val="24"/>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5.对供应商提交的报价文件不予退还。</w:t>
      </w:r>
    </w:p>
    <w:p w14:paraId="594ACFD3">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（四）报价要求</w:t>
      </w:r>
    </w:p>
    <w:p w14:paraId="4CCBCA52">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1.本次报价非一次性报价，报价币种为人民币。</w:t>
      </w:r>
    </w:p>
    <w:p w14:paraId="231AD18D">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2.不接受可选择的报价方案和报价。任何有选择的或可调整的报价方案和报价将被视为非响应性报价而被拒绝。</w:t>
      </w:r>
    </w:p>
    <w:p w14:paraId="41572E49">
      <w:pPr>
        <w:pStyle w:val="26"/>
        <w:spacing w:line="360" w:lineRule="auto"/>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3.本次项目为交钥匙工程。报价采用工程量清单计价形式，该报价的单价为综合单价。综合单价包括完成一个规定计量单位所需的人工费、材料费、施工机械使用费和企业管理费与利润并考虑合同明示和暗示的所有责任、义务和除不可抗力以外的一切风险因素。该综合单价不随政策调整而变化，并作为结算的依据，中标的综合单价除双方同意外，结算时不得调整。</w:t>
      </w:r>
    </w:p>
    <w:p w14:paraId="3EB4078E">
      <w:pPr>
        <w:spacing w:line="360" w:lineRule="auto"/>
        <w:ind w:firstLine="562" w:firstLineChars="200"/>
        <w:outlineLvl w:val="2"/>
        <w:rPr>
          <w:rFonts w:ascii="黑体" w:hAnsi="黑体" w:eastAsia="黑体" w:cs="黑体"/>
          <w:b/>
          <w:color w:val="000000"/>
          <w:kern w:val="0"/>
          <w:sz w:val="28"/>
          <w:szCs w:val="28"/>
        </w:rPr>
      </w:pPr>
      <w:bookmarkStart w:id="9" w:name="_Toc4659"/>
      <w:bookmarkStart w:id="10" w:name="_Toc389658221"/>
      <w:bookmarkStart w:id="11" w:name="_Toc346617314"/>
      <w:bookmarkStart w:id="12" w:name="_Toc183264288"/>
      <w:r>
        <w:rPr>
          <w:rFonts w:hint="eastAsia" w:ascii="黑体" w:hAnsi="黑体" w:eastAsia="黑体" w:cs="黑体"/>
          <w:b/>
          <w:color w:val="000000"/>
          <w:kern w:val="0"/>
          <w:sz w:val="28"/>
          <w:szCs w:val="28"/>
        </w:rPr>
        <w:t>三、合格的供应商</w:t>
      </w:r>
      <w:bookmarkEnd w:id="9"/>
      <w:bookmarkEnd w:id="10"/>
      <w:bookmarkEnd w:id="11"/>
      <w:bookmarkEnd w:id="12"/>
    </w:p>
    <w:p w14:paraId="6B9E5B08">
      <w:pPr>
        <w:pStyle w:val="26"/>
        <w:spacing w:line="500" w:lineRule="exact"/>
        <w:ind w:firstLine="584"/>
        <w:rPr>
          <w:rFonts w:asciiTheme="majorEastAsia" w:hAnsiTheme="majorEastAsia" w:eastAsiaTheme="majorEastAsia"/>
          <w:sz w:val="28"/>
          <w:szCs w:val="28"/>
        </w:rPr>
      </w:pPr>
      <w:r>
        <w:rPr>
          <w:rFonts w:hint="eastAsia" w:asciiTheme="majorEastAsia" w:hAnsiTheme="majorEastAsia" w:eastAsiaTheme="majorEastAsia"/>
          <w:sz w:val="28"/>
          <w:szCs w:val="28"/>
        </w:rPr>
        <w:t>符合以下条件的供应商，为合格的供应商：</w:t>
      </w:r>
    </w:p>
    <w:p w14:paraId="78DB6186">
      <w:pPr>
        <w:pStyle w:val="23"/>
        <w:spacing w:beforeLines="50" w:line="500" w:lineRule="exact"/>
        <w:ind w:firstLine="560" w:firstLineChars="200"/>
        <w:jc w:val="both"/>
        <w:rPr>
          <w:rFonts w:asciiTheme="majorEastAsia" w:hAnsiTheme="majorEastAsia" w:eastAsiaTheme="majorEastAsia"/>
          <w:spacing w:val="0"/>
          <w:sz w:val="28"/>
          <w:szCs w:val="28"/>
        </w:rPr>
      </w:pPr>
      <w:r>
        <w:rPr>
          <w:rFonts w:hint="eastAsia" w:asciiTheme="majorEastAsia" w:hAnsiTheme="majorEastAsia" w:eastAsiaTheme="majorEastAsia"/>
          <w:spacing w:val="0"/>
          <w:sz w:val="28"/>
          <w:szCs w:val="28"/>
        </w:rPr>
        <w:t>1.在中国境内注册具有本项目服务供应或施工能力的独立企业法人资格；</w:t>
      </w:r>
    </w:p>
    <w:p w14:paraId="4FAC835A">
      <w:pPr>
        <w:pStyle w:val="23"/>
        <w:spacing w:beforeLines="50" w:line="500" w:lineRule="exact"/>
        <w:ind w:firstLine="560" w:firstLineChars="200"/>
        <w:jc w:val="both"/>
        <w:rPr>
          <w:rFonts w:asciiTheme="majorEastAsia" w:hAnsiTheme="majorEastAsia" w:eastAsiaTheme="majorEastAsia"/>
          <w:spacing w:val="0"/>
          <w:sz w:val="28"/>
          <w:szCs w:val="28"/>
        </w:rPr>
      </w:pPr>
      <w:r>
        <w:rPr>
          <w:rFonts w:hint="eastAsia" w:asciiTheme="majorEastAsia" w:hAnsiTheme="majorEastAsia" w:eastAsiaTheme="majorEastAsia"/>
          <w:spacing w:val="0"/>
          <w:sz w:val="28"/>
          <w:szCs w:val="28"/>
        </w:rPr>
        <w:t>2.有依法缴纳税收和社会保障资金的良好记录；</w:t>
      </w:r>
    </w:p>
    <w:p w14:paraId="7F5B4C5E">
      <w:pPr>
        <w:pStyle w:val="23"/>
        <w:spacing w:beforeLines="50" w:line="500" w:lineRule="exact"/>
        <w:ind w:firstLine="560" w:firstLineChars="200"/>
        <w:jc w:val="both"/>
        <w:rPr>
          <w:rFonts w:asciiTheme="majorEastAsia" w:hAnsiTheme="majorEastAsia" w:eastAsiaTheme="majorEastAsia"/>
          <w:spacing w:val="0"/>
          <w:sz w:val="28"/>
          <w:szCs w:val="28"/>
        </w:rPr>
      </w:pPr>
      <w:r>
        <w:rPr>
          <w:rFonts w:hint="eastAsia" w:asciiTheme="majorEastAsia" w:hAnsiTheme="majorEastAsia" w:eastAsiaTheme="majorEastAsia"/>
          <w:spacing w:val="0"/>
          <w:sz w:val="28"/>
          <w:szCs w:val="28"/>
        </w:rPr>
        <w:t>3.具有履行合同所必需的设备和专业技术能力；</w:t>
      </w:r>
    </w:p>
    <w:p w14:paraId="2DEC01A6">
      <w:pPr>
        <w:pStyle w:val="23"/>
        <w:spacing w:beforeLines="50" w:line="360" w:lineRule="auto"/>
        <w:ind w:firstLine="560" w:firstLineChars="200"/>
        <w:jc w:val="both"/>
        <w:rPr>
          <w:rFonts w:asciiTheme="majorEastAsia" w:hAnsiTheme="majorEastAsia" w:eastAsiaTheme="majorEastAsia"/>
          <w:spacing w:val="0"/>
          <w:sz w:val="28"/>
          <w:szCs w:val="28"/>
        </w:rPr>
      </w:pPr>
      <w:r>
        <w:rPr>
          <w:rFonts w:hint="eastAsia" w:asciiTheme="majorEastAsia" w:hAnsiTheme="majorEastAsia" w:eastAsiaTheme="majorEastAsia"/>
          <w:spacing w:val="0"/>
          <w:sz w:val="28"/>
          <w:szCs w:val="28"/>
        </w:rPr>
        <w:t>4.具有良好的商业信誉和健全的财务会计制度；</w:t>
      </w:r>
    </w:p>
    <w:p w14:paraId="2C63E114">
      <w:pPr>
        <w:pStyle w:val="23"/>
        <w:spacing w:beforeLines="50" w:line="360" w:lineRule="auto"/>
        <w:ind w:firstLine="560" w:firstLineChars="200"/>
        <w:jc w:val="both"/>
        <w:rPr>
          <w:rFonts w:asciiTheme="majorEastAsia" w:hAnsiTheme="majorEastAsia" w:eastAsiaTheme="majorEastAsia"/>
          <w:spacing w:val="0"/>
          <w:sz w:val="28"/>
          <w:szCs w:val="28"/>
        </w:rPr>
      </w:pPr>
      <w:r>
        <w:rPr>
          <w:rFonts w:hint="eastAsia" w:asciiTheme="majorEastAsia" w:hAnsiTheme="majorEastAsia" w:eastAsiaTheme="majorEastAsia"/>
          <w:spacing w:val="0"/>
          <w:sz w:val="28"/>
          <w:szCs w:val="28"/>
        </w:rPr>
        <w:t>5.供应商必须为资信良好、能提供完善售后服务的公司企业；</w:t>
      </w:r>
    </w:p>
    <w:p w14:paraId="69EDFF24">
      <w:pPr>
        <w:pStyle w:val="23"/>
        <w:spacing w:beforeLines="50" w:line="360" w:lineRule="auto"/>
        <w:ind w:firstLine="560" w:firstLineChars="200"/>
        <w:jc w:val="both"/>
        <w:rPr>
          <w:rFonts w:asciiTheme="majorEastAsia" w:hAnsiTheme="majorEastAsia" w:eastAsiaTheme="majorEastAsia"/>
          <w:spacing w:val="0"/>
          <w:sz w:val="28"/>
          <w:szCs w:val="28"/>
        </w:rPr>
      </w:pPr>
      <w:r>
        <w:rPr>
          <w:rFonts w:hint="eastAsia" w:asciiTheme="majorEastAsia" w:hAnsiTheme="majorEastAsia" w:eastAsiaTheme="majorEastAsia"/>
          <w:spacing w:val="0"/>
          <w:sz w:val="28"/>
          <w:szCs w:val="28"/>
        </w:rPr>
        <w:t>6.参加采购活动前三年内，没有重大违法记录；</w:t>
      </w:r>
    </w:p>
    <w:p w14:paraId="3B8C65E7">
      <w:pPr>
        <w:pStyle w:val="23"/>
        <w:spacing w:line="360" w:lineRule="auto"/>
        <w:ind w:firstLine="560" w:firstLineChars="200"/>
        <w:jc w:val="both"/>
        <w:rPr>
          <w:rFonts w:asciiTheme="majorEastAsia" w:hAnsiTheme="majorEastAsia" w:eastAsiaTheme="majorEastAsia"/>
          <w:spacing w:val="0"/>
          <w:sz w:val="28"/>
          <w:szCs w:val="28"/>
        </w:rPr>
      </w:pPr>
      <w:r>
        <w:rPr>
          <w:rFonts w:hint="eastAsia" w:asciiTheme="majorEastAsia" w:hAnsiTheme="majorEastAsia" w:eastAsiaTheme="majorEastAsia"/>
          <w:spacing w:val="0"/>
          <w:sz w:val="28"/>
          <w:szCs w:val="28"/>
        </w:rPr>
        <w:t>7.具有健全、有效的管理体制和质量保证体系；</w:t>
      </w:r>
    </w:p>
    <w:p w14:paraId="69419ACA">
      <w:pPr>
        <w:pStyle w:val="23"/>
        <w:spacing w:line="360" w:lineRule="auto"/>
        <w:ind w:firstLine="560" w:firstLineChars="200"/>
        <w:jc w:val="both"/>
        <w:rPr>
          <w:rFonts w:asciiTheme="majorEastAsia" w:hAnsiTheme="majorEastAsia" w:eastAsiaTheme="majorEastAsia"/>
          <w:spacing w:val="0"/>
          <w:sz w:val="28"/>
          <w:szCs w:val="28"/>
        </w:rPr>
      </w:pPr>
      <w:r>
        <w:rPr>
          <w:rFonts w:hint="eastAsia" w:asciiTheme="majorEastAsia" w:hAnsiTheme="majorEastAsia" w:eastAsiaTheme="majorEastAsia"/>
          <w:spacing w:val="0"/>
          <w:sz w:val="28"/>
          <w:szCs w:val="28"/>
        </w:rPr>
        <w:t>8.具有类似项目实施经验，能够满足机械岩心钻探工作所需要的技术、人员和机械设备并能够有能力组织人员进行安全生产。</w:t>
      </w:r>
    </w:p>
    <w:p w14:paraId="15719992">
      <w:pPr>
        <w:rPr>
          <w:rFonts w:asciiTheme="minorEastAsia" w:hAnsiTheme="minorEastAsia"/>
          <w:color w:val="1F497D" w:themeColor="text2"/>
          <w:sz w:val="36"/>
          <w:szCs w:val="36"/>
        </w:rPr>
      </w:pPr>
    </w:p>
    <w:p w14:paraId="3669396A">
      <w:pPr>
        <w:rPr>
          <w:rFonts w:asciiTheme="minorEastAsia" w:hAnsiTheme="minorEastAsia"/>
          <w:color w:val="1F497D" w:themeColor="text2"/>
          <w:sz w:val="36"/>
          <w:szCs w:val="36"/>
        </w:rPr>
      </w:pPr>
    </w:p>
    <w:p w14:paraId="131C3D97">
      <w:pPr>
        <w:rPr>
          <w:rFonts w:asciiTheme="minorEastAsia" w:hAnsiTheme="minorEastAsia"/>
          <w:color w:val="1F497D" w:themeColor="text2"/>
          <w:sz w:val="36"/>
          <w:szCs w:val="36"/>
        </w:rPr>
      </w:pPr>
    </w:p>
    <w:p w14:paraId="0F84838E">
      <w:pPr>
        <w:rPr>
          <w:rFonts w:asciiTheme="minorEastAsia" w:hAnsiTheme="minorEastAsia"/>
          <w:color w:val="1F497D" w:themeColor="text2"/>
          <w:sz w:val="36"/>
          <w:szCs w:val="36"/>
        </w:rPr>
      </w:pPr>
    </w:p>
    <w:p w14:paraId="49514B28">
      <w:pPr>
        <w:rPr>
          <w:rFonts w:asciiTheme="minorEastAsia" w:hAnsiTheme="minorEastAsia"/>
          <w:color w:val="1F497D" w:themeColor="text2"/>
          <w:sz w:val="36"/>
          <w:szCs w:val="36"/>
        </w:rPr>
      </w:pPr>
    </w:p>
    <w:p w14:paraId="063D637F">
      <w:pPr>
        <w:rPr>
          <w:rFonts w:asciiTheme="minorEastAsia" w:hAnsiTheme="minorEastAsia"/>
          <w:color w:val="1F497D" w:themeColor="text2"/>
          <w:sz w:val="36"/>
          <w:szCs w:val="36"/>
        </w:rPr>
      </w:pPr>
    </w:p>
    <w:p w14:paraId="4B879A5A">
      <w:pPr>
        <w:rPr>
          <w:rFonts w:asciiTheme="minorEastAsia" w:hAnsiTheme="minorEastAsia"/>
          <w:color w:val="1F497D" w:themeColor="text2"/>
          <w:sz w:val="36"/>
          <w:szCs w:val="36"/>
        </w:rPr>
      </w:pPr>
    </w:p>
    <w:p w14:paraId="4074352A">
      <w:pPr>
        <w:rPr>
          <w:rFonts w:asciiTheme="minorEastAsia" w:hAnsiTheme="minorEastAsia"/>
          <w:color w:val="1F497D" w:themeColor="text2"/>
          <w:sz w:val="36"/>
          <w:szCs w:val="36"/>
        </w:rPr>
      </w:pPr>
    </w:p>
    <w:p w14:paraId="3121FB91">
      <w:pPr>
        <w:rPr>
          <w:rFonts w:asciiTheme="minorEastAsia" w:hAnsiTheme="minorEastAsia"/>
          <w:color w:val="1F497D" w:themeColor="text2"/>
          <w:sz w:val="36"/>
          <w:szCs w:val="36"/>
        </w:rPr>
      </w:pPr>
    </w:p>
    <w:p w14:paraId="248EDED8">
      <w:pPr>
        <w:rPr>
          <w:rFonts w:asciiTheme="minorEastAsia" w:hAnsiTheme="minorEastAsia"/>
          <w:color w:val="1F497D" w:themeColor="text2"/>
          <w:sz w:val="36"/>
          <w:szCs w:val="36"/>
        </w:rPr>
      </w:pPr>
    </w:p>
    <w:p w14:paraId="52CD16FC">
      <w:pPr>
        <w:rPr>
          <w:rFonts w:asciiTheme="minorEastAsia" w:hAnsiTheme="minorEastAsia"/>
          <w:color w:val="1F497D" w:themeColor="text2"/>
          <w:sz w:val="36"/>
          <w:szCs w:val="36"/>
        </w:rPr>
      </w:pPr>
    </w:p>
    <w:p w14:paraId="56F59ECE">
      <w:pPr>
        <w:rPr>
          <w:rFonts w:asciiTheme="minorEastAsia" w:hAnsiTheme="minorEastAsia"/>
          <w:color w:val="1F497D" w:themeColor="text2"/>
          <w:sz w:val="36"/>
          <w:szCs w:val="36"/>
        </w:rPr>
      </w:pPr>
    </w:p>
    <w:p w14:paraId="2D91569E">
      <w:pPr>
        <w:rPr>
          <w:rFonts w:asciiTheme="minorEastAsia" w:hAnsiTheme="minorEastAsia"/>
          <w:color w:val="1F497D" w:themeColor="text2"/>
          <w:sz w:val="36"/>
          <w:szCs w:val="36"/>
        </w:rPr>
      </w:pPr>
    </w:p>
    <w:p w14:paraId="629FEA26">
      <w:pPr>
        <w:rPr>
          <w:rFonts w:asciiTheme="minorEastAsia" w:hAnsiTheme="minorEastAsia"/>
          <w:color w:val="1F497D" w:themeColor="text2"/>
          <w:sz w:val="36"/>
          <w:szCs w:val="36"/>
        </w:rPr>
      </w:pPr>
    </w:p>
    <w:p w14:paraId="615EAB5B">
      <w:pPr>
        <w:rPr>
          <w:rFonts w:asciiTheme="minorEastAsia" w:hAnsiTheme="minorEastAsia"/>
          <w:color w:val="1F497D" w:themeColor="text2"/>
          <w:sz w:val="36"/>
          <w:szCs w:val="36"/>
        </w:rPr>
      </w:pPr>
    </w:p>
    <w:p w14:paraId="7A0BD137"/>
    <w:p w14:paraId="5AE008F4"/>
    <w:p w14:paraId="2865D6D2">
      <w:pPr>
        <w:spacing w:line="360" w:lineRule="auto"/>
        <w:ind w:firstLine="602" w:firstLineChars="200"/>
        <w:jc w:val="center"/>
        <w:outlineLvl w:val="2"/>
        <w:rPr>
          <w:rFonts w:ascii="宋体" w:hAnsi="宋体" w:eastAsia="宋体" w:cs="宋体"/>
          <w:b/>
          <w:color w:val="000000"/>
          <w:kern w:val="0"/>
          <w:sz w:val="30"/>
          <w:szCs w:val="30"/>
        </w:rPr>
      </w:pPr>
      <w:bookmarkStart w:id="13" w:name="_Toc26508"/>
      <w:r>
        <w:rPr>
          <w:rFonts w:hint="eastAsia" w:ascii="宋体" w:hAnsi="宋体" w:eastAsia="宋体" w:cs="宋体"/>
          <w:b/>
          <w:color w:val="000000"/>
          <w:kern w:val="0"/>
          <w:sz w:val="30"/>
          <w:szCs w:val="30"/>
        </w:rPr>
        <w:t>第三章  项目说明</w:t>
      </w:r>
      <w:bookmarkEnd w:id="13"/>
    </w:p>
    <w:p w14:paraId="35F39F67">
      <w:pPr>
        <w:widowControl/>
        <w:spacing w:line="360" w:lineRule="auto"/>
        <w:ind w:firstLine="560" w:firstLineChars="200"/>
        <w:rPr>
          <w:rFonts w:ascii="Times New Roman" w:hAnsi="Times New Roman"/>
          <w:sz w:val="28"/>
          <w:szCs w:val="28"/>
        </w:rPr>
      </w:pPr>
      <w:r>
        <w:rPr>
          <w:rFonts w:ascii="Times New Roman" w:hAnsi="Times New Roman"/>
          <w:sz w:val="28"/>
          <w:szCs w:val="28"/>
        </w:rPr>
        <w:t>钻探工程质量按照《地质岩心钻探规程》（DZ/T0227-2018）实施，绿色勘查质量以《绿色勘查指南》（T/CMAS0001-2018）为准；勘查区拟选用便捷式可拆卸模块化钻机，钻进方法采用大口径金刚石钻进，全部钻孔采用金刚石绳索取心钻施工，钻孔开孔直径110mm，终孔直径不小于75mm。质量标准按七项指标衡量，具体质量要求如下：</w:t>
      </w:r>
    </w:p>
    <w:p w14:paraId="193AE8FC">
      <w:pPr>
        <w:spacing w:line="360" w:lineRule="auto"/>
        <w:ind w:firstLine="560" w:firstLineChars="200"/>
        <w:rPr>
          <w:rFonts w:ascii="Times New Roman" w:hAnsi="Times New Roman"/>
          <w:sz w:val="28"/>
          <w:szCs w:val="28"/>
        </w:rPr>
      </w:pPr>
      <w:r>
        <w:rPr>
          <w:rFonts w:hint="eastAsia" w:ascii="Times New Roman" w:hAnsi="Times New Roman"/>
          <w:sz w:val="28"/>
          <w:szCs w:val="28"/>
        </w:rPr>
        <w:t>1、</w:t>
      </w:r>
      <w:r>
        <w:rPr>
          <w:rFonts w:ascii="Times New Roman" w:hAnsi="Times New Roman"/>
          <w:sz w:val="28"/>
          <w:szCs w:val="28"/>
        </w:rPr>
        <w:t>岩矿心采取率与整理：围岩岩心的分层平均采取率一般不得低于80%。矿体及其顶底板3～5m内的矿心、岩心平均采取率大于80%，厚大矿体内部矿心采取率低于80%的连续长度不能超过5m，否则应采取补救措施。取上来的岩矿心要及时洗净、装箱、准确丈量，凡长度大于l0cm的岩心及大于5cm的矿心均应统一编号，岩心箱注明孔号、箱号、岩心票填写齐全。</w:t>
      </w:r>
    </w:p>
    <w:p w14:paraId="4F670589">
      <w:pPr>
        <w:widowControl/>
        <w:spacing w:line="360" w:lineRule="auto"/>
        <w:ind w:firstLine="560" w:firstLineChars="200"/>
        <w:rPr>
          <w:rFonts w:ascii="Times New Roman" w:hAnsi="Times New Roman"/>
          <w:sz w:val="28"/>
          <w:szCs w:val="28"/>
        </w:rPr>
      </w:pPr>
      <w:r>
        <w:rPr>
          <w:rFonts w:hint="eastAsia" w:ascii="Times New Roman" w:hAnsi="Times New Roman"/>
          <w:sz w:val="28"/>
          <w:szCs w:val="28"/>
        </w:rPr>
        <w:t>2、</w:t>
      </w:r>
      <w:r>
        <w:rPr>
          <w:rFonts w:ascii="Times New Roman" w:hAnsi="Times New Roman"/>
          <w:sz w:val="28"/>
          <w:szCs w:val="28"/>
        </w:rPr>
        <w:t>钻孔弯曲与测量间距：开孔25m处测量1次，钻孔直孔顶角和方位角每100m测量一次，允许顶角每100m弯曲2°，斜孔每50m测量一次，允许顶角每100m弯曲3°，见矿和终孔均需测定。见矿点（及厚度大于30m的矿体出矿点）应测量钻孔顶角和方位角。</w:t>
      </w:r>
    </w:p>
    <w:p w14:paraId="5CDD287F">
      <w:pPr>
        <w:widowControl/>
        <w:spacing w:line="360" w:lineRule="auto"/>
        <w:ind w:firstLine="560" w:firstLineChars="200"/>
        <w:rPr>
          <w:rFonts w:ascii="Times New Roman" w:hAnsi="Times New Roman"/>
          <w:sz w:val="28"/>
          <w:szCs w:val="28"/>
        </w:rPr>
      </w:pPr>
      <w:r>
        <w:rPr>
          <w:rFonts w:hint="eastAsia" w:ascii="Times New Roman" w:hAnsi="Times New Roman"/>
          <w:sz w:val="28"/>
          <w:szCs w:val="28"/>
        </w:rPr>
        <w:t>3、</w:t>
      </w:r>
      <w:r>
        <w:rPr>
          <w:rFonts w:ascii="Times New Roman" w:hAnsi="Times New Roman"/>
          <w:sz w:val="28"/>
          <w:szCs w:val="28"/>
        </w:rPr>
        <w:t>简易水文观测：以清水为冲洗液的钻孔每班至少要测1～2次孔内水位，未下好井口套管的孔段和泥浆钻进的钻孔可以不测。每次观测应在提钻后、下钻前各测量一次，其间隔时间应大于5分钟。钻进时遇涌水、漏水、坍塌、掉块、溶洞等现象应及时准确记录其孔深和有关情况，终孔后测孔内稳定水位，时间不低于8小时。</w:t>
      </w:r>
    </w:p>
    <w:p w14:paraId="198A6B1F">
      <w:pPr>
        <w:widowControl/>
        <w:spacing w:line="360" w:lineRule="auto"/>
        <w:ind w:firstLine="560" w:firstLineChars="200"/>
        <w:rPr>
          <w:rFonts w:ascii="Times New Roman" w:hAnsi="Times New Roman"/>
          <w:sz w:val="28"/>
          <w:szCs w:val="28"/>
        </w:rPr>
      </w:pPr>
      <w:r>
        <w:rPr>
          <w:rFonts w:hint="eastAsia" w:ascii="Times New Roman" w:hAnsi="Times New Roman"/>
          <w:sz w:val="28"/>
          <w:szCs w:val="28"/>
        </w:rPr>
        <w:t>4、</w:t>
      </w:r>
      <w:r>
        <w:rPr>
          <w:rFonts w:ascii="Times New Roman" w:hAnsi="Times New Roman"/>
          <w:sz w:val="28"/>
          <w:szCs w:val="28"/>
        </w:rPr>
        <w:t>孔深误差的测量与校正：除主矿体及终孔应进行孔深验证外，直孔每钻进100m，斜孔每钻进50m，矿体底板，处理事故各加测一次，要求用钢尺丈量。允许孔深误差千分之一。</w:t>
      </w:r>
    </w:p>
    <w:p w14:paraId="6F0CF523">
      <w:pPr>
        <w:widowControl/>
        <w:spacing w:line="360" w:lineRule="auto"/>
        <w:ind w:firstLine="560" w:firstLineChars="200"/>
        <w:rPr>
          <w:rFonts w:ascii="Times New Roman" w:hAnsi="Times New Roman"/>
          <w:sz w:val="28"/>
          <w:szCs w:val="28"/>
        </w:rPr>
      </w:pPr>
      <w:r>
        <w:rPr>
          <w:rFonts w:hint="eastAsia" w:ascii="Times New Roman" w:hAnsi="Times New Roman"/>
          <w:sz w:val="28"/>
          <w:szCs w:val="28"/>
        </w:rPr>
        <w:t>5、</w:t>
      </w:r>
      <w:r>
        <w:rPr>
          <w:rFonts w:ascii="Times New Roman" w:hAnsi="Times New Roman"/>
          <w:sz w:val="28"/>
          <w:szCs w:val="28"/>
        </w:rPr>
        <w:t>原始班报表：要求在现场及时填写，记录准确、齐全、清洁、清楚。</w:t>
      </w:r>
    </w:p>
    <w:p w14:paraId="63A0B141">
      <w:pPr>
        <w:spacing w:line="360" w:lineRule="auto"/>
        <w:ind w:firstLine="560" w:firstLineChars="200"/>
        <w:rPr>
          <w:rFonts w:ascii="Times New Roman" w:hAnsi="Times New Roman"/>
          <w:sz w:val="28"/>
          <w:szCs w:val="28"/>
        </w:rPr>
      </w:pPr>
      <w:r>
        <w:rPr>
          <w:rFonts w:hint="eastAsia" w:ascii="Times New Roman" w:hAnsi="Times New Roman"/>
          <w:sz w:val="28"/>
          <w:szCs w:val="28"/>
        </w:rPr>
        <w:t>6、</w:t>
      </w:r>
      <w:r>
        <w:rPr>
          <w:rFonts w:ascii="Times New Roman" w:hAnsi="Times New Roman"/>
          <w:sz w:val="28"/>
          <w:szCs w:val="28"/>
        </w:rPr>
        <w:t>封孔：要按封孔通知书和封孔设计书进行，采用全孔封孔，均用425#以上未过期水泥封闭，水灰比为0.5。封孔方法采用钻具下至封孔位置，然后用水泥浆泵送法封闭，要保证封孔质量，并取水泥浆样证实，钻孔结束后要埋永久性孔口标志，并保证其质量。</w:t>
      </w:r>
    </w:p>
    <w:p w14:paraId="6769AC4B">
      <w:pPr>
        <w:spacing w:line="360" w:lineRule="auto"/>
        <w:ind w:firstLine="560" w:firstLineChars="200"/>
        <w:jc w:val="left"/>
        <w:rPr>
          <w:rFonts w:ascii="Times New Roman" w:hAnsi="Times New Roman"/>
          <w:sz w:val="28"/>
          <w:szCs w:val="28"/>
        </w:rPr>
      </w:pPr>
      <w:bookmarkStart w:id="14" w:name="_Toc30289"/>
      <w:r>
        <w:rPr>
          <w:rFonts w:hint="eastAsia" w:ascii="Times New Roman" w:hAnsi="Times New Roman"/>
          <w:sz w:val="28"/>
          <w:szCs w:val="28"/>
        </w:rPr>
        <w:t>7、</w:t>
      </w:r>
      <w:r>
        <w:rPr>
          <w:rFonts w:ascii="Times New Roman" w:hAnsi="Times New Roman"/>
          <w:sz w:val="28"/>
          <w:szCs w:val="28"/>
        </w:rPr>
        <w:t>绿色勘查措施</w:t>
      </w:r>
      <w:bookmarkEnd w:id="14"/>
    </w:p>
    <w:p w14:paraId="598D3775">
      <w:pPr>
        <w:spacing w:line="360" w:lineRule="auto"/>
        <w:ind w:firstLine="560" w:firstLineChars="200"/>
        <w:jc w:val="left"/>
        <w:rPr>
          <w:rFonts w:ascii="Times New Roman" w:hAnsi="Times New Roman"/>
          <w:bCs/>
          <w:sz w:val="28"/>
          <w:szCs w:val="28"/>
        </w:rPr>
      </w:pPr>
      <w:r>
        <w:rPr>
          <w:rFonts w:hint="eastAsia" w:ascii="Times New Roman" w:hAnsi="Times New Roman"/>
          <w:bCs/>
          <w:sz w:val="28"/>
          <w:szCs w:val="28"/>
        </w:rPr>
        <w:t>（1）</w:t>
      </w:r>
      <w:r>
        <w:rPr>
          <w:rFonts w:ascii="Times New Roman" w:hAnsi="Times New Roman"/>
          <w:bCs/>
          <w:sz w:val="28"/>
          <w:szCs w:val="28"/>
        </w:rPr>
        <w:t>设备安装、搬运、运行中要防止油料、化学处理剂等泼洒及倾倒污染地面，废弃油料必须收集回收利用或专业处理。</w:t>
      </w:r>
    </w:p>
    <w:p w14:paraId="51348658">
      <w:pPr>
        <w:spacing w:line="360" w:lineRule="auto"/>
        <w:ind w:firstLine="560" w:firstLineChars="200"/>
        <w:jc w:val="left"/>
        <w:rPr>
          <w:rFonts w:ascii="Times New Roman" w:hAnsi="Times New Roman"/>
          <w:bCs/>
          <w:sz w:val="28"/>
          <w:szCs w:val="28"/>
        </w:rPr>
      </w:pPr>
      <w:r>
        <w:rPr>
          <w:rFonts w:hint="eastAsia" w:ascii="Times New Roman" w:hAnsi="Times New Roman"/>
          <w:bCs/>
          <w:sz w:val="28"/>
          <w:szCs w:val="28"/>
        </w:rPr>
        <w:t>（2）</w:t>
      </w:r>
      <w:r>
        <w:rPr>
          <w:rFonts w:ascii="Times New Roman" w:hAnsi="Times New Roman"/>
          <w:bCs/>
          <w:sz w:val="28"/>
          <w:szCs w:val="28"/>
        </w:rPr>
        <w:t>施工操作场地、材料物资堆放池、库房、岩心房、员工休息室等地面铺设防渗土工布隔离；油料存放地、垃圾池及厕所坑、槽等易发生渗漏污染的表层，必须采用防渗漏土工布铺垫进行防渗漏处理，预防渗漏污染。</w:t>
      </w:r>
    </w:p>
    <w:p w14:paraId="59F71B60">
      <w:pPr>
        <w:spacing w:line="360" w:lineRule="auto"/>
        <w:ind w:firstLine="560" w:firstLineChars="200"/>
        <w:jc w:val="left"/>
        <w:rPr>
          <w:rFonts w:ascii="Times New Roman" w:hAnsi="Times New Roman"/>
          <w:bCs/>
          <w:sz w:val="28"/>
          <w:szCs w:val="28"/>
        </w:rPr>
      </w:pPr>
      <w:r>
        <w:rPr>
          <w:rFonts w:hint="eastAsia" w:ascii="Times New Roman" w:hAnsi="Times New Roman"/>
          <w:bCs/>
          <w:sz w:val="28"/>
          <w:szCs w:val="28"/>
        </w:rPr>
        <w:t>（3）</w:t>
      </w:r>
      <w:r>
        <w:rPr>
          <w:rFonts w:ascii="Times New Roman" w:hAnsi="Times New Roman"/>
          <w:bCs/>
          <w:sz w:val="28"/>
          <w:szCs w:val="28"/>
        </w:rPr>
        <w:t>钻探工程推行机台标准化建设，重点加强泥浆、废水、废油料的污染处理和施工后现场的处理。泥浆及处理剂必须采用无毒、无害，可自然降解性能的环保材料。并加强循环的现场使用管理，做好施工中防渗、护壁及净化处理、机械冲洗、废水等严禁直接排入地表水体，必须经过必要的处理后方可外排，预防使用中造成地面及地下水的污染。</w:t>
      </w:r>
    </w:p>
    <w:p w14:paraId="3D75821B">
      <w:pPr>
        <w:spacing w:line="360" w:lineRule="auto"/>
        <w:ind w:firstLine="560" w:firstLineChars="200"/>
        <w:jc w:val="left"/>
        <w:rPr>
          <w:rFonts w:ascii="Times New Roman" w:hAnsi="Times New Roman"/>
          <w:bCs/>
          <w:sz w:val="28"/>
          <w:szCs w:val="28"/>
        </w:rPr>
      </w:pPr>
      <w:r>
        <w:rPr>
          <w:rFonts w:hint="eastAsia" w:ascii="Times New Roman" w:hAnsi="Times New Roman"/>
          <w:bCs/>
          <w:sz w:val="28"/>
          <w:szCs w:val="28"/>
        </w:rPr>
        <w:t>（4）</w:t>
      </w:r>
      <w:r>
        <w:rPr>
          <w:rFonts w:ascii="Times New Roman" w:hAnsi="Times New Roman"/>
          <w:bCs/>
          <w:sz w:val="28"/>
          <w:szCs w:val="28"/>
        </w:rPr>
        <w:t>钻探工程施工时，尽可能不开挖泥浆坑、泥浆槽、蓄水池等对环境破坏较大的施工设施，采用有机塑料桶等大型容器代替施工泥浆坑、蓄水池；采用封闭式铁槽进行泥浆循环。钻探施工完毕后，将废泥浆、废水、废渣、废油料等集中固化后拉运至指定垃圾处理站统一处理。</w:t>
      </w:r>
    </w:p>
    <w:p w14:paraId="4F04DFDD">
      <w:pPr>
        <w:spacing w:line="360" w:lineRule="auto"/>
        <w:ind w:firstLine="560" w:firstLineChars="200"/>
        <w:jc w:val="left"/>
        <w:rPr>
          <w:rFonts w:ascii="Times New Roman" w:hAnsi="Times New Roman"/>
          <w:bCs/>
          <w:sz w:val="28"/>
          <w:szCs w:val="28"/>
        </w:rPr>
      </w:pPr>
      <w:r>
        <w:rPr>
          <w:rFonts w:hint="eastAsia" w:ascii="Times New Roman" w:hAnsi="Times New Roman"/>
          <w:bCs/>
          <w:sz w:val="28"/>
          <w:szCs w:val="28"/>
        </w:rPr>
        <w:t>（5）</w:t>
      </w:r>
      <w:r>
        <w:rPr>
          <w:rFonts w:ascii="Times New Roman" w:hAnsi="Times New Roman"/>
          <w:bCs/>
          <w:sz w:val="28"/>
          <w:szCs w:val="28"/>
        </w:rPr>
        <w:t>施工现场的设备设施及物资材料必须规范存放管理，场地设置池及废料堆放区，严禁乱丢乱放垃圾和废物废料。施工废料、生活垃圾等固体废物必须分类管理、施工结束后，现场产生的各类垃圾应分类处理，可降解生活垃圾应挖坑掩埋，不可降解的垃圾必须带回附近城镇垃圾站处理，保持现场干净整洁。</w:t>
      </w:r>
    </w:p>
    <w:p w14:paraId="4FEF6B61">
      <w:pPr>
        <w:spacing w:line="360" w:lineRule="auto"/>
        <w:ind w:firstLine="560" w:firstLineChars="200"/>
        <w:jc w:val="left"/>
        <w:rPr>
          <w:rFonts w:ascii="Times New Roman" w:hAnsi="Times New Roman"/>
          <w:bCs/>
          <w:sz w:val="28"/>
          <w:szCs w:val="28"/>
        </w:rPr>
      </w:pPr>
      <w:r>
        <w:rPr>
          <w:rFonts w:hint="eastAsia" w:ascii="Times New Roman" w:hAnsi="Times New Roman"/>
          <w:bCs/>
          <w:sz w:val="28"/>
          <w:szCs w:val="28"/>
        </w:rPr>
        <w:t>（6）</w:t>
      </w:r>
      <w:r>
        <w:rPr>
          <w:rFonts w:ascii="Times New Roman" w:hAnsi="Times New Roman"/>
          <w:bCs/>
          <w:sz w:val="28"/>
          <w:szCs w:val="28"/>
        </w:rPr>
        <w:t>施工现场严禁燃烧秸秆、衣物等产生烟尘、废弃污染的农作物及其它物品。施工现场生活用燃煤尽量采用低含硫的优质无烟煤，使用的炉具必须安放排烟管。钻探施工过程中，必须在工作现场设置环境</w:t>
      </w:r>
      <w:r>
        <w:rPr>
          <w:rFonts w:hint="eastAsia" w:ascii="Times New Roman" w:hAnsi="Times New Roman"/>
          <w:bCs/>
          <w:sz w:val="28"/>
          <w:szCs w:val="28"/>
        </w:rPr>
        <w:t>保护措施制度牌。</w:t>
      </w:r>
    </w:p>
    <w:p w14:paraId="35366100">
      <w:pPr>
        <w:spacing w:line="360" w:lineRule="auto"/>
        <w:ind w:firstLine="560" w:firstLineChars="200"/>
        <w:jc w:val="left"/>
        <w:rPr>
          <w:rFonts w:ascii="Times New Roman" w:hAnsi="Times New Roman" w:eastAsia="宋体" w:cs="Times New Roman"/>
          <w:sz w:val="28"/>
          <w:szCs w:val="28"/>
        </w:rPr>
      </w:pPr>
      <w:r>
        <w:rPr>
          <w:rFonts w:ascii="Times New Roman" w:hAnsi="Times New Roman" w:eastAsia="宋体" w:cs="Times New Roman"/>
          <w:sz w:val="28"/>
          <w:szCs w:val="28"/>
        </w:rPr>
        <w:t>安全工作必须引起项目组全体人员的高度重视，为确保项目的顺利实施，遵守有关安全生产制度，</w:t>
      </w:r>
      <w:r>
        <w:rPr>
          <w:rFonts w:hint="eastAsia" w:ascii="Times New Roman" w:hAnsi="Times New Roman" w:eastAsia="宋体" w:cs="Times New Roman"/>
          <w:sz w:val="28"/>
          <w:szCs w:val="28"/>
        </w:rPr>
        <w:t>建立</w:t>
      </w:r>
      <w:r>
        <w:rPr>
          <w:rFonts w:ascii="Times New Roman" w:hAnsi="Times New Roman" w:eastAsia="宋体" w:cs="Times New Roman"/>
          <w:sz w:val="28"/>
          <w:szCs w:val="28"/>
        </w:rPr>
        <w:t>安全生产管理体系</w:t>
      </w:r>
      <w:r>
        <w:rPr>
          <w:rFonts w:hint="eastAsia" w:ascii="Times New Roman" w:hAnsi="Times New Roman" w:eastAsia="宋体" w:cs="Times New Roman"/>
          <w:sz w:val="28"/>
          <w:szCs w:val="28"/>
        </w:rPr>
        <w:t>。</w:t>
      </w:r>
    </w:p>
    <w:p w14:paraId="1E608882">
      <w:pPr>
        <w:ind w:firstLine="560" w:firstLineChars="200"/>
        <w:rPr>
          <w:rFonts w:ascii="宋体" w:hAnsi="宋体" w:eastAsia="宋体" w:cs="宋体"/>
          <w:sz w:val="28"/>
          <w:szCs w:val="28"/>
        </w:rPr>
      </w:pPr>
      <w:r>
        <w:rPr>
          <w:rFonts w:hint="eastAsia" w:ascii="宋体" w:hAnsi="宋体" w:cs="宋体"/>
          <w:sz w:val="28"/>
          <w:szCs w:val="28"/>
        </w:rPr>
        <w:t>1、认真</w:t>
      </w:r>
      <w:r>
        <w:rPr>
          <w:rFonts w:hint="eastAsia" w:ascii="宋体" w:hAnsi="宋体" w:eastAsia="宋体" w:cs="宋体"/>
          <w:sz w:val="28"/>
          <w:szCs w:val="28"/>
        </w:rPr>
        <w:t>贯彻国家</w:t>
      </w:r>
      <w:r>
        <w:rPr>
          <w:rFonts w:hint="eastAsia" w:ascii="宋体" w:hAnsi="宋体" w:cs="宋体"/>
          <w:sz w:val="28"/>
          <w:szCs w:val="28"/>
        </w:rPr>
        <w:t>有关安全生产的</w:t>
      </w:r>
      <w:r>
        <w:rPr>
          <w:rFonts w:hint="eastAsia" w:ascii="宋体" w:hAnsi="宋体" w:eastAsia="宋体" w:cs="宋体"/>
          <w:sz w:val="28"/>
          <w:szCs w:val="28"/>
        </w:rPr>
        <w:t>法律、法规</w:t>
      </w:r>
      <w:r>
        <w:rPr>
          <w:rFonts w:hint="eastAsia" w:ascii="宋体" w:hAnsi="宋体" w:cs="宋体"/>
          <w:sz w:val="28"/>
          <w:szCs w:val="28"/>
        </w:rPr>
        <w:t>、标准、规范，严格落实项目安全生产规章制度和操作规程</w:t>
      </w:r>
      <w:r>
        <w:rPr>
          <w:rFonts w:hint="eastAsia" w:ascii="宋体" w:hAnsi="宋体" w:eastAsia="宋体" w:cs="宋体"/>
          <w:sz w:val="28"/>
          <w:szCs w:val="28"/>
        </w:rPr>
        <w:t>。</w:t>
      </w:r>
    </w:p>
    <w:p w14:paraId="6C682EA4">
      <w:pPr>
        <w:ind w:firstLine="560" w:firstLineChars="200"/>
        <w:rPr>
          <w:rFonts w:ascii="宋体" w:hAnsi="宋体" w:eastAsia="宋体" w:cs="宋体"/>
          <w:sz w:val="28"/>
          <w:szCs w:val="28"/>
        </w:rPr>
      </w:pPr>
      <w:r>
        <w:rPr>
          <w:rFonts w:hint="eastAsia" w:ascii="宋体" w:hAnsi="宋体" w:cs="宋体"/>
          <w:sz w:val="28"/>
          <w:szCs w:val="28"/>
        </w:rPr>
        <w:t>2</w:t>
      </w:r>
      <w:r>
        <w:rPr>
          <w:rFonts w:hint="eastAsia" w:ascii="宋体" w:hAnsi="宋体" w:eastAsia="宋体" w:cs="宋体"/>
          <w:sz w:val="28"/>
          <w:szCs w:val="28"/>
        </w:rPr>
        <w:t>、必须具备法律法规、</w:t>
      </w:r>
      <w:r>
        <w:rPr>
          <w:rFonts w:hint="eastAsia" w:ascii="宋体" w:hAnsi="宋体" w:cs="宋体"/>
          <w:sz w:val="28"/>
          <w:szCs w:val="28"/>
        </w:rPr>
        <w:t>标准规范</w:t>
      </w:r>
      <w:r>
        <w:rPr>
          <w:rFonts w:hint="eastAsia" w:ascii="宋体" w:hAnsi="宋体" w:eastAsia="宋体" w:cs="宋体"/>
          <w:sz w:val="28"/>
          <w:szCs w:val="28"/>
        </w:rPr>
        <w:t>规定的安全生产经营条件，具备相应的资质，并对其所提供的证明材料的真实性负责。</w:t>
      </w:r>
    </w:p>
    <w:p w14:paraId="5E0298C7">
      <w:pPr>
        <w:ind w:firstLine="560" w:firstLineChars="200"/>
        <w:rPr>
          <w:rFonts w:ascii="宋体" w:hAnsi="宋体" w:eastAsia="宋体" w:cs="宋体"/>
          <w:sz w:val="28"/>
          <w:szCs w:val="28"/>
        </w:rPr>
      </w:pPr>
      <w:r>
        <w:rPr>
          <w:rFonts w:hint="eastAsia" w:ascii="宋体" w:hAnsi="宋体" w:cs="宋体"/>
          <w:sz w:val="28"/>
          <w:szCs w:val="28"/>
        </w:rPr>
        <w:t>3、</w:t>
      </w:r>
      <w:r>
        <w:rPr>
          <w:rFonts w:hint="eastAsia"/>
          <w:sz w:val="28"/>
          <w:szCs w:val="28"/>
        </w:rPr>
        <w:t>应对其所在现场的各种行为完全负责，工作人员不得违章作业、冒险作业、疲劳作业等，有权拒绝强令冒险作业；</w:t>
      </w:r>
    </w:p>
    <w:p w14:paraId="701DE175">
      <w:pPr>
        <w:ind w:firstLine="560" w:firstLineChars="200"/>
        <w:rPr>
          <w:rFonts w:ascii="宋体" w:hAnsi="宋体" w:eastAsia="宋体" w:cs="宋体"/>
          <w:sz w:val="28"/>
          <w:szCs w:val="28"/>
        </w:rPr>
      </w:pPr>
      <w:r>
        <w:rPr>
          <w:rFonts w:hint="eastAsia" w:ascii="宋体" w:hAnsi="宋体" w:cs="宋体"/>
          <w:sz w:val="28"/>
          <w:szCs w:val="28"/>
        </w:rPr>
        <w:t>4</w:t>
      </w:r>
      <w:r>
        <w:rPr>
          <w:rFonts w:hint="eastAsia" w:ascii="宋体" w:hAnsi="宋体" w:eastAsia="宋体" w:cs="宋体"/>
          <w:sz w:val="28"/>
          <w:szCs w:val="28"/>
        </w:rPr>
        <w:t>、遵守各项安全生产管理规章制度，接受监督管理。对事故调查取证工作负有积极配合的义务，不得伪造、故意破坏事故现场或阻碍、干涉事故调查工作。</w:t>
      </w:r>
    </w:p>
    <w:p w14:paraId="101206DC">
      <w:pPr>
        <w:ind w:firstLine="560" w:firstLineChars="200"/>
        <w:rPr>
          <w:rFonts w:ascii="宋体" w:hAnsi="宋体" w:eastAsia="宋体" w:cs="宋体"/>
          <w:sz w:val="28"/>
          <w:szCs w:val="28"/>
        </w:rPr>
      </w:pPr>
      <w:r>
        <w:rPr>
          <w:rFonts w:hint="eastAsia" w:ascii="宋体" w:hAnsi="宋体" w:cs="宋体"/>
          <w:sz w:val="28"/>
          <w:szCs w:val="28"/>
        </w:rPr>
        <w:t>5</w:t>
      </w:r>
      <w:r>
        <w:rPr>
          <w:rFonts w:hint="eastAsia" w:ascii="宋体" w:hAnsi="宋体" w:eastAsia="宋体" w:cs="宋体"/>
          <w:sz w:val="28"/>
          <w:szCs w:val="28"/>
        </w:rPr>
        <w:t>、严禁使用童工，对未成年工、女工的使用必须符合国家有关规定，</w:t>
      </w:r>
      <w:r>
        <w:rPr>
          <w:rFonts w:ascii="Times New Roman" w:hAnsi="Times New Roman" w:eastAsia="宋体" w:cs="Times New Roman"/>
          <w:sz w:val="28"/>
          <w:szCs w:val="28"/>
        </w:rPr>
        <w:t>工作中要尊重少数民族风俗习惯，搞好民族团结</w:t>
      </w:r>
      <w:r>
        <w:rPr>
          <w:rFonts w:hint="eastAsia" w:ascii="宋体" w:hAnsi="宋体" w:eastAsia="宋体" w:cs="宋体"/>
          <w:sz w:val="28"/>
          <w:szCs w:val="28"/>
        </w:rPr>
        <w:t>。</w:t>
      </w:r>
    </w:p>
    <w:p w14:paraId="1623E91F">
      <w:pPr>
        <w:ind w:firstLine="560" w:firstLineChars="200"/>
        <w:rPr>
          <w:rFonts w:ascii="宋体" w:hAnsi="宋体" w:eastAsia="宋体" w:cs="宋体"/>
          <w:sz w:val="28"/>
          <w:szCs w:val="28"/>
        </w:rPr>
      </w:pPr>
      <w:r>
        <w:rPr>
          <w:rFonts w:hint="eastAsia" w:ascii="宋体" w:hAnsi="宋体" w:cs="宋体"/>
          <w:sz w:val="28"/>
          <w:szCs w:val="28"/>
        </w:rPr>
        <w:t>6</w:t>
      </w:r>
      <w:r>
        <w:rPr>
          <w:rFonts w:hint="eastAsia" w:ascii="宋体" w:hAnsi="宋体" w:eastAsia="宋体" w:cs="宋体"/>
          <w:sz w:val="28"/>
          <w:szCs w:val="28"/>
        </w:rPr>
        <w:t>、教育和督促其从业人员严格执行安全生产规章制度和安全操作规程，并向从业人员如实告知作业场所和工作岗位存在的危险因素、防范措施以及事故应急措施。</w:t>
      </w:r>
    </w:p>
    <w:p w14:paraId="2D756346">
      <w:pPr>
        <w:ind w:firstLine="560" w:firstLineChars="200"/>
        <w:rPr>
          <w:rFonts w:ascii="宋体" w:hAnsi="宋体" w:eastAsia="宋体" w:cs="宋体"/>
          <w:sz w:val="28"/>
          <w:szCs w:val="28"/>
        </w:rPr>
      </w:pPr>
      <w:r>
        <w:rPr>
          <w:rFonts w:hint="eastAsia" w:ascii="宋体" w:hAnsi="宋体" w:cs="宋体"/>
          <w:sz w:val="28"/>
          <w:szCs w:val="28"/>
        </w:rPr>
        <w:t>7</w:t>
      </w:r>
      <w:r>
        <w:rPr>
          <w:rFonts w:hint="eastAsia" w:ascii="宋体" w:hAnsi="宋体" w:eastAsia="宋体" w:cs="宋体"/>
          <w:sz w:val="28"/>
          <w:szCs w:val="28"/>
        </w:rPr>
        <w:t>、应对其从业人员进行安全生产教育和培训，保证从业人员具备必要的安全生产知识，熟悉有关安全生产规章制度和安全操作规程，掌握本岗位的安全操作技能；未经安全生产教育和培训合格的人员，不得上岗作业；特种作业人员必须按照国家有关规定经专门的安全作业培训，取得特种作业操作资格证书，方可上岗作业，并向甲方提交从业人员名单和有效的特种作业操作资格证书。</w:t>
      </w:r>
    </w:p>
    <w:p w14:paraId="5F4CBEB8">
      <w:pPr>
        <w:ind w:firstLine="560" w:firstLineChars="200"/>
        <w:rPr>
          <w:rFonts w:ascii="宋体" w:hAnsi="宋体" w:eastAsia="宋体" w:cs="宋体"/>
          <w:sz w:val="28"/>
          <w:szCs w:val="28"/>
        </w:rPr>
      </w:pPr>
      <w:r>
        <w:rPr>
          <w:rFonts w:hint="eastAsia" w:ascii="宋体" w:hAnsi="宋体" w:cs="宋体"/>
          <w:sz w:val="28"/>
          <w:szCs w:val="28"/>
        </w:rPr>
        <w:t>8</w:t>
      </w:r>
      <w:r>
        <w:rPr>
          <w:rFonts w:hint="eastAsia" w:ascii="宋体" w:hAnsi="宋体" w:eastAsia="宋体" w:cs="宋体"/>
          <w:sz w:val="28"/>
          <w:szCs w:val="28"/>
        </w:rPr>
        <w:t>、</w:t>
      </w:r>
      <w:r>
        <w:rPr>
          <w:rFonts w:hint="eastAsia"/>
          <w:sz w:val="28"/>
          <w:szCs w:val="28"/>
        </w:rPr>
        <w:t>保证本项目必要的安全生产投入，</w:t>
      </w:r>
      <w:r>
        <w:rPr>
          <w:rFonts w:hint="eastAsia" w:ascii="宋体" w:hAnsi="宋体" w:eastAsia="宋体" w:cs="宋体"/>
          <w:sz w:val="28"/>
          <w:szCs w:val="28"/>
        </w:rPr>
        <w:t>为从业人员</w:t>
      </w:r>
      <w:r>
        <w:rPr>
          <w:rFonts w:hint="eastAsia" w:ascii="宋体" w:hAnsi="宋体" w:cs="宋体"/>
          <w:sz w:val="28"/>
          <w:szCs w:val="28"/>
        </w:rPr>
        <w:t>配备</w:t>
      </w:r>
      <w:r>
        <w:rPr>
          <w:rFonts w:hint="eastAsia"/>
          <w:sz w:val="28"/>
          <w:szCs w:val="28"/>
        </w:rPr>
        <w:t>齐全合格有效的</w:t>
      </w:r>
      <w:r>
        <w:rPr>
          <w:rFonts w:hint="eastAsia" w:ascii="宋体" w:hAnsi="宋体" w:eastAsia="宋体" w:cs="宋体"/>
          <w:sz w:val="28"/>
          <w:szCs w:val="28"/>
        </w:rPr>
        <w:t>劳动防护用品，并监督、教育从业人员正确穿戴、使用。</w:t>
      </w:r>
    </w:p>
    <w:p w14:paraId="4F935C69">
      <w:pPr>
        <w:ind w:firstLine="560" w:firstLineChars="200"/>
        <w:rPr>
          <w:sz w:val="28"/>
          <w:szCs w:val="28"/>
        </w:rPr>
      </w:pPr>
      <w:r>
        <w:rPr>
          <w:rFonts w:hint="eastAsia"/>
          <w:sz w:val="28"/>
          <w:szCs w:val="28"/>
        </w:rPr>
        <w:t>9、应为本方项目人员办理工伤保险和人身意外伤害保险。</w:t>
      </w:r>
    </w:p>
    <w:p w14:paraId="0545F965">
      <w:pPr>
        <w:ind w:firstLine="560" w:firstLineChars="200"/>
        <w:rPr>
          <w:sz w:val="28"/>
          <w:szCs w:val="28"/>
        </w:rPr>
      </w:pPr>
      <w:r>
        <w:rPr>
          <w:rFonts w:hint="eastAsia" w:ascii="宋体" w:hAnsi="宋体" w:cs="宋体"/>
          <w:sz w:val="28"/>
          <w:szCs w:val="28"/>
        </w:rPr>
        <w:t>10、</w:t>
      </w:r>
      <w:r>
        <w:rPr>
          <w:rFonts w:hint="eastAsia" w:ascii="宋体" w:hAnsi="宋体" w:eastAsia="宋体" w:cs="宋体"/>
          <w:sz w:val="28"/>
          <w:szCs w:val="28"/>
        </w:rPr>
        <w:t>应当对从事有职业危害作业的从业人员进行健康检查，健康检查费用、患职业病从业人员自行妥善处理。</w:t>
      </w:r>
    </w:p>
    <w:p w14:paraId="2C316A92">
      <w:pPr>
        <w:spacing w:line="360" w:lineRule="auto"/>
        <w:ind w:firstLine="560" w:firstLineChars="200"/>
        <w:jc w:val="left"/>
        <w:rPr>
          <w:rFonts w:ascii="Times New Roman" w:hAnsi="Times New Roman" w:eastAsia="宋体" w:cs="Times New Roman"/>
          <w:sz w:val="28"/>
          <w:szCs w:val="28"/>
        </w:rPr>
      </w:pPr>
      <w:r>
        <w:rPr>
          <w:rFonts w:hint="eastAsia" w:ascii="宋体" w:hAnsi="宋体" w:cs="宋体"/>
          <w:sz w:val="28"/>
          <w:szCs w:val="28"/>
        </w:rPr>
        <w:t>11</w:t>
      </w:r>
      <w:r>
        <w:rPr>
          <w:rFonts w:hint="eastAsia" w:ascii="宋体" w:hAnsi="宋体" w:eastAsia="宋体" w:cs="宋体"/>
          <w:sz w:val="28"/>
          <w:szCs w:val="28"/>
        </w:rPr>
        <w:t>、</w:t>
      </w:r>
      <w:r>
        <w:rPr>
          <w:rFonts w:hint="eastAsia"/>
          <w:sz w:val="28"/>
          <w:szCs w:val="28"/>
        </w:rPr>
        <w:t>负责本方施工和生活区域的防火、防盗、人身安全等工作，发生人员变动要及时告知</w:t>
      </w:r>
      <w:r>
        <w:rPr>
          <w:rFonts w:ascii="Times New Roman" w:hAnsi="Times New Roman" w:eastAsia="宋体" w:cs="Times New Roman"/>
          <w:sz w:val="28"/>
          <w:szCs w:val="28"/>
        </w:rPr>
        <w:t>。</w:t>
      </w:r>
    </w:p>
    <w:p w14:paraId="38DA9265">
      <w:pPr>
        <w:ind w:firstLine="560" w:firstLineChars="200"/>
        <w:rPr>
          <w:sz w:val="28"/>
          <w:szCs w:val="28"/>
        </w:rPr>
      </w:pPr>
      <w:r>
        <w:rPr>
          <w:rFonts w:hint="eastAsia"/>
          <w:sz w:val="28"/>
          <w:szCs w:val="28"/>
        </w:rPr>
        <w:t>12、不得将施工工程和服务工作进行转包、分包，因转包、分包导致的一切后果自行承担；</w:t>
      </w:r>
    </w:p>
    <w:p w14:paraId="62401D14">
      <w:pPr>
        <w:ind w:firstLine="560" w:firstLineChars="200"/>
        <w:rPr>
          <w:sz w:val="28"/>
          <w:szCs w:val="28"/>
        </w:rPr>
      </w:pPr>
    </w:p>
    <w:p w14:paraId="1EABEC24">
      <w:pPr>
        <w:spacing w:line="360" w:lineRule="auto"/>
        <w:ind w:firstLine="602" w:firstLineChars="200"/>
        <w:jc w:val="center"/>
        <w:outlineLvl w:val="2"/>
        <w:rPr>
          <w:rFonts w:ascii="宋体" w:hAnsi="宋体" w:eastAsia="宋体" w:cs="宋体"/>
          <w:b/>
          <w:color w:val="000000"/>
          <w:kern w:val="0"/>
          <w:sz w:val="30"/>
          <w:szCs w:val="30"/>
        </w:rPr>
      </w:pPr>
      <w:bookmarkStart w:id="15" w:name="_Toc2889"/>
      <w:r>
        <w:rPr>
          <w:rFonts w:hint="eastAsia" w:ascii="宋体" w:hAnsi="宋体" w:eastAsia="宋体" w:cs="宋体"/>
          <w:b/>
          <w:color w:val="000000"/>
          <w:kern w:val="0"/>
          <w:sz w:val="30"/>
          <w:szCs w:val="30"/>
        </w:rPr>
        <w:t>第四章  公开报价、谈判、成交</w:t>
      </w:r>
      <w:bookmarkEnd w:id="15"/>
    </w:p>
    <w:p w14:paraId="7255DAD7">
      <w:pPr>
        <w:spacing w:line="360" w:lineRule="auto"/>
        <w:ind w:firstLine="562" w:firstLineChars="200"/>
        <w:outlineLvl w:val="2"/>
        <w:rPr>
          <w:rFonts w:ascii="黑体" w:hAnsi="黑体" w:eastAsia="黑体" w:cs="黑体"/>
          <w:b/>
          <w:color w:val="000000"/>
          <w:kern w:val="0"/>
          <w:sz w:val="28"/>
          <w:szCs w:val="28"/>
        </w:rPr>
      </w:pPr>
      <w:bookmarkStart w:id="16" w:name="_Toc27047"/>
      <w:bookmarkStart w:id="17" w:name="_Toc389658237"/>
      <w:bookmarkStart w:id="18" w:name="_Toc346617324"/>
      <w:r>
        <w:rPr>
          <w:rFonts w:hint="eastAsia" w:ascii="黑体" w:hAnsi="黑体" w:eastAsia="黑体" w:cs="黑体"/>
          <w:b/>
          <w:color w:val="000000"/>
          <w:kern w:val="0"/>
          <w:sz w:val="28"/>
          <w:szCs w:val="28"/>
        </w:rPr>
        <w:t>一、报价文件的递交及公开报价仪式</w:t>
      </w:r>
      <w:bookmarkEnd w:id="16"/>
      <w:bookmarkEnd w:id="17"/>
      <w:bookmarkEnd w:id="18"/>
    </w:p>
    <w:p w14:paraId="079C5B61">
      <w:pPr>
        <w:pStyle w:val="24"/>
        <w:spacing w:line="360" w:lineRule="auto"/>
        <w:ind w:firstLine="584"/>
        <w:rPr>
          <w:rFonts w:ascii="宋体" w:hAnsi="宋体"/>
          <w:sz w:val="28"/>
          <w:szCs w:val="28"/>
          <w:u w:val="single"/>
        </w:rPr>
      </w:pPr>
      <w:r>
        <w:rPr>
          <w:rFonts w:hint="eastAsia" w:ascii="宋体" w:hAnsi="宋体"/>
          <w:sz w:val="28"/>
          <w:szCs w:val="28"/>
        </w:rPr>
        <w:t>1.报价文件递交地点：</w:t>
      </w:r>
      <w:r>
        <w:rPr>
          <w:rFonts w:hint="eastAsia" w:ascii="宋体" w:hAnsi="宋体"/>
          <w:sz w:val="28"/>
          <w:szCs w:val="28"/>
          <w:u w:val="single"/>
        </w:rPr>
        <w:t>呼和浩特市新城区新华大街87号奈伦国际A座10楼会议室</w:t>
      </w:r>
    </w:p>
    <w:p w14:paraId="2E72BF03">
      <w:pPr>
        <w:pStyle w:val="24"/>
        <w:spacing w:line="360" w:lineRule="auto"/>
        <w:ind w:firstLine="584"/>
        <w:rPr>
          <w:rFonts w:ascii="宋体" w:hAnsi="宋体"/>
          <w:color w:val="auto"/>
          <w:sz w:val="28"/>
          <w:szCs w:val="28"/>
          <w:highlight w:val="none"/>
        </w:rPr>
      </w:pPr>
      <w:r>
        <w:rPr>
          <w:rFonts w:hint="eastAsia" w:ascii="宋体" w:hAnsi="宋体"/>
          <w:color w:val="auto"/>
          <w:sz w:val="28"/>
          <w:szCs w:val="28"/>
          <w:highlight w:val="none"/>
        </w:rPr>
        <w:t>报价文件递交时间：</w:t>
      </w:r>
      <w:r>
        <w:rPr>
          <w:rFonts w:hint="eastAsia" w:ascii="宋体" w:hAnsi="宋体"/>
          <w:color w:val="auto"/>
          <w:sz w:val="28"/>
          <w:szCs w:val="28"/>
          <w:highlight w:val="none"/>
          <w:u w:val="single"/>
        </w:rPr>
        <w:t>202</w:t>
      </w:r>
      <w:r>
        <w:rPr>
          <w:rFonts w:hint="eastAsia" w:ascii="宋体" w:hAnsi="宋体"/>
          <w:color w:val="auto"/>
          <w:sz w:val="28"/>
          <w:szCs w:val="28"/>
          <w:highlight w:val="none"/>
          <w:u w:val="single"/>
          <w:lang w:val="en-US" w:eastAsia="zh-CN"/>
        </w:rPr>
        <w:t>5</w:t>
      </w:r>
      <w:r>
        <w:rPr>
          <w:rFonts w:hint="eastAsia" w:ascii="宋体" w:hAnsi="宋体"/>
          <w:color w:val="auto"/>
          <w:sz w:val="28"/>
          <w:szCs w:val="28"/>
          <w:highlight w:val="none"/>
          <w:u w:val="single"/>
        </w:rPr>
        <w:t>年</w:t>
      </w:r>
      <w:r>
        <w:rPr>
          <w:rFonts w:hint="eastAsia" w:ascii="宋体" w:hAnsi="宋体"/>
          <w:color w:val="auto"/>
          <w:sz w:val="28"/>
          <w:szCs w:val="28"/>
          <w:highlight w:val="none"/>
          <w:u w:val="single"/>
          <w:lang w:val="en-US" w:eastAsia="zh-CN"/>
        </w:rPr>
        <w:t>9</w:t>
      </w:r>
      <w:r>
        <w:rPr>
          <w:rFonts w:hint="eastAsia" w:ascii="宋体" w:hAnsi="宋体"/>
          <w:color w:val="auto"/>
          <w:sz w:val="28"/>
          <w:szCs w:val="28"/>
          <w:highlight w:val="none"/>
          <w:u w:val="single"/>
        </w:rPr>
        <w:t>月</w:t>
      </w:r>
      <w:r>
        <w:rPr>
          <w:rFonts w:hint="eastAsia" w:ascii="宋体" w:hAnsi="宋体"/>
          <w:color w:val="auto"/>
          <w:sz w:val="28"/>
          <w:szCs w:val="28"/>
          <w:highlight w:val="none"/>
          <w:u w:val="single"/>
          <w:lang w:val="en-US" w:eastAsia="zh-CN"/>
        </w:rPr>
        <w:t>15</w:t>
      </w:r>
      <w:r>
        <w:rPr>
          <w:rFonts w:hint="eastAsia" w:ascii="宋体" w:hAnsi="宋体"/>
          <w:color w:val="auto"/>
          <w:sz w:val="28"/>
          <w:szCs w:val="28"/>
          <w:highlight w:val="none"/>
          <w:u w:val="single"/>
        </w:rPr>
        <w:t>日（北京时间）</w:t>
      </w:r>
    </w:p>
    <w:p w14:paraId="7346D5EC">
      <w:pPr>
        <w:pStyle w:val="24"/>
        <w:spacing w:line="360" w:lineRule="auto"/>
        <w:ind w:firstLine="584"/>
        <w:rPr>
          <w:rFonts w:ascii="宋体" w:hAnsi="宋体"/>
          <w:color w:val="auto"/>
          <w:sz w:val="28"/>
          <w:szCs w:val="28"/>
          <w:highlight w:val="none"/>
          <w:u w:val="single"/>
        </w:rPr>
      </w:pPr>
      <w:r>
        <w:rPr>
          <w:rFonts w:hint="eastAsia" w:ascii="宋体" w:hAnsi="宋体"/>
          <w:color w:val="auto"/>
          <w:sz w:val="28"/>
          <w:szCs w:val="28"/>
          <w:highlight w:val="none"/>
        </w:rPr>
        <w:t>2.公开报价时间：</w:t>
      </w:r>
      <w:r>
        <w:rPr>
          <w:rFonts w:hint="eastAsia" w:ascii="宋体" w:hAnsi="宋体"/>
          <w:color w:val="auto"/>
          <w:sz w:val="28"/>
          <w:szCs w:val="28"/>
          <w:highlight w:val="none"/>
          <w:u w:val="single"/>
        </w:rPr>
        <w:t>202</w:t>
      </w:r>
      <w:r>
        <w:rPr>
          <w:rFonts w:hint="eastAsia" w:ascii="宋体" w:hAnsi="宋体"/>
          <w:color w:val="auto"/>
          <w:sz w:val="28"/>
          <w:szCs w:val="28"/>
          <w:highlight w:val="none"/>
          <w:u w:val="single"/>
          <w:lang w:val="en-US" w:eastAsia="zh-CN"/>
        </w:rPr>
        <w:t>5</w:t>
      </w:r>
      <w:r>
        <w:rPr>
          <w:rFonts w:hint="eastAsia" w:ascii="宋体" w:hAnsi="宋体"/>
          <w:color w:val="auto"/>
          <w:sz w:val="28"/>
          <w:szCs w:val="28"/>
          <w:highlight w:val="none"/>
          <w:u w:val="single"/>
        </w:rPr>
        <w:t>年</w:t>
      </w:r>
      <w:r>
        <w:rPr>
          <w:rFonts w:hint="eastAsia" w:ascii="宋体" w:hAnsi="宋体"/>
          <w:color w:val="auto"/>
          <w:sz w:val="28"/>
          <w:szCs w:val="28"/>
          <w:highlight w:val="none"/>
          <w:u w:val="single"/>
          <w:lang w:val="en-US" w:eastAsia="zh-CN"/>
        </w:rPr>
        <w:t>9</w:t>
      </w:r>
      <w:r>
        <w:rPr>
          <w:rFonts w:hint="eastAsia" w:ascii="宋体" w:hAnsi="宋体"/>
          <w:color w:val="auto"/>
          <w:sz w:val="28"/>
          <w:szCs w:val="28"/>
          <w:highlight w:val="none"/>
          <w:u w:val="single"/>
        </w:rPr>
        <w:t>月</w:t>
      </w:r>
      <w:r>
        <w:rPr>
          <w:rFonts w:hint="eastAsia" w:ascii="宋体" w:hAnsi="宋体"/>
          <w:color w:val="auto"/>
          <w:sz w:val="28"/>
          <w:szCs w:val="28"/>
          <w:highlight w:val="none"/>
          <w:u w:val="single"/>
          <w:lang w:val="en-US" w:eastAsia="zh-CN"/>
        </w:rPr>
        <w:t>15</w:t>
      </w:r>
      <w:r>
        <w:rPr>
          <w:rFonts w:hint="eastAsia" w:ascii="宋体" w:hAnsi="宋体"/>
          <w:color w:val="auto"/>
          <w:sz w:val="28"/>
          <w:szCs w:val="28"/>
          <w:highlight w:val="none"/>
          <w:u w:val="single"/>
        </w:rPr>
        <w:t>日上午9:30（北京时间）</w:t>
      </w:r>
    </w:p>
    <w:p w14:paraId="18D045EB">
      <w:pPr>
        <w:pStyle w:val="24"/>
        <w:spacing w:line="360" w:lineRule="auto"/>
        <w:ind w:firstLine="584"/>
        <w:rPr>
          <w:rFonts w:ascii="宋体" w:hAnsi="宋体"/>
          <w:sz w:val="28"/>
          <w:szCs w:val="28"/>
        </w:rPr>
      </w:pPr>
      <w:r>
        <w:rPr>
          <w:rFonts w:hint="eastAsia" w:ascii="宋体" w:hAnsi="宋体"/>
          <w:sz w:val="28"/>
          <w:szCs w:val="28"/>
        </w:rPr>
        <w:t>3.采购领导小组办公室组织报价文件的递交，供应商法定代表人或其授权代表签字确认。</w:t>
      </w:r>
    </w:p>
    <w:p w14:paraId="70233959">
      <w:pPr>
        <w:spacing w:line="360" w:lineRule="auto"/>
        <w:ind w:firstLine="584" w:firstLineChars="200"/>
        <w:rPr>
          <w:rFonts w:ascii="宋体" w:hAnsi="宋体"/>
          <w:spacing w:val="6"/>
          <w:sz w:val="28"/>
          <w:szCs w:val="28"/>
        </w:rPr>
      </w:pPr>
      <w:r>
        <w:rPr>
          <w:rFonts w:hint="eastAsia" w:ascii="宋体" w:hAnsi="宋体"/>
          <w:spacing w:val="6"/>
          <w:sz w:val="28"/>
          <w:szCs w:val="28"/>
        </w:rPr>
        <w:t>4.对供应商的报价资格进行审验：</w:t>
      </w:r>
    </w:p>
    <w:p w14:paraId="6E093E6D">
      <w:pPr>
        <w:spacing w:line="360" w:lineRule="auto"/>
        <w:ind w:firstLine="584" w:firstLineChars="200"/>
        <w:rPr>
          <w:rFonts w:ascii="宋体" w:hAnsi="宋体"/>
          <w:spacing w:val="6"/>
          <w:sz w:val="28"/>
          <w:szCs w:val="28"/>
          <w:u w:val="single"/>
        </w:rPr>
      </w:pPr>
      <w:r>
        <w:rPr>
          <w:rFonts w:hint="eastAsia" w:ascii="宋体" w:hAnsi="宋体"/>
          <w:spacing w:val="6"/>
          <w:sz w:val="28"/>
          <w:szCs w:val="28"/>
          <w:u w:val="single"/>
        </w:rPr>
        <w:t>（1）法定代表人授权委托书的原件（必须要有法定代表人的签字或印章）；</w:t>
      </w:r>
    </w:p>
    <w:p w14:paraId="5C9F101A">
      <w:pPr>
        <w:spacing w:line="360" w:lineRule="auto"/>
        <w:ind w:firstLine="584" w:firstLineChars="200"/>
        <w:rPr>
          <w:rFonts w:ascii="宋体" w:hAnsi="宋体"/>
          <w:spacing w:val="6"/>
          <w:sz w:val="28"/>
          <w:szCs w:val="28"/>
          <w:u w:val="single"/>
        </w:rPr>
      </w:pPr>
      <w:r>
        <w:rPr>
          <w:rFonts w:hint="eastAsia" w:ascii="宋体" w:hAnsi="宋体"/>
          <w:spacing w:val="6"/>
          <w:sz w:val="28"/>
          <w:szCs w:val="28"/>
          <w:u w:val="single"/>
        </w:rPr>
        <w:t>（2）受托人身份证原件及复印件一份；</w:t>
      </w:r>
    </w:p>
    <w:p w14:paraId="4E67A53F">
      <w:pPr>
        <w:spacing w:line="360" w:lineRule="auto"/>
        <w:ind w:firstLine="584" w:firstLineChars="200"/>
        <w:rPr>
          <w:rFonts w:ascii="宋体" w:hAnsi="宋体"/>
          <w:spacing w:val="6"/>
          <w:sz w:val="28"/>
          <w:szCs w:val="28"/>
          <w:u w:val="single"/>
        </w:rPr>
      </w:pPr>
      <w:r>
        <w:rPr>
          <w:rFonts w:hint="eastAsia" w:ascii="宋体" w:hAnsi="宋体"/>
          <w:spacing w:val="6"/>
          <w:sz w:val="28"/>
          <w:szCs w:val="28"/>
          <w:u w:val="single"/>
        </w:rPr>
        <w:t>（3）</w:t>
      </w:r>
      <w:r>
        <w:rPr>
          <w:rFonts w:hint="eastAsia" w:ascii="宋体" w:hAnsi="宋体"/>
          <w:sz w:val="28"/>
          <w:szCs w:val="28"/>
          <w:u w:val="single"/>
        </w:rPr>
        <w:t>营业执照副本、</w:t>
      </w:r>
      <w:r>
        <w:rPr>
          <w:rFonts w:hint="eastAsia" w:ascii="宋体" w:hAnsi="宋体"/>
          <w:spacing w:val="6"/>
          <w:sz w:val="28"/>
          <w:szCs w:val="28"/>
          <w:u w:val="single"/>
        </w:rPr>
        <w:t>资质证书等原件及复印件加盖公章。</w:t>
      </w:r>
    </w:p>
    <w:p w14:paraId="247C3F86">
      <w:pPr>
        <w:spacing w:line="360" w:lineRule="auto"/>
        <w:ind w:firstLine="586" w:firstLineChars="200"/>
        <w:rPr>
          <w:rFonts w:ascii="宋体" w:hAnsi="宋体"/>
          <w:b/>
          <w:spacing w:val="6"/>
          <w:sz w:val="28"/>
          <w:szCs w:val="28"/>
        </w:rPr>
      </w:pPr>
      <w:r>
        <w:rPr>
          <w:rFonts w:hint="eastAsia" w:ascii="宋体" w:hAnsi="宋体"/>
          <w:b/>
          <w:spacing w:val="6"/>
          <w:sz w:val="28"/>
          <w:szCs w:val="28"/>
        </w:rPr>
        <w:t>以上证书、证件按规定提供，否则视为供应商自动放弃报价资格。</w:t>
      </w:r>
    </w:p>
    <w:p w14:paraId="726B34D9">
      <w:pPr>
        <w:spacing w:line="360" w:lineRule="auto"/>
        <w:ind w:firstLine="584" w:firstLineChars="200"/>
        <w:rPr>
          <w:rFonts w:ascii="宋体" w:hAnsi="宋体"/>
          <w:spacing w:val="6"/>
          <w:sz w:val="28"/>
          <w:szCs w:val="28"/>
        </w:rPr>
      </w:pPr>
      <w:r>
        <w:rPr>
          <w:rFonts w:hint="eastAsia" w:ascii="宋体" w:hAnsi="宋体"/>
          <w:spacing w:val="6"/>
          <w:sz w:val="28"/>
          <w:szCs w:val="28"/>
        </w:rPr>
        <w:t>5.对各供应商提交的报价文件密封情况按签到顺序进行检查，并当场宣布检查结果。</w:t>
      </w:r>
    </w:p>
    <w:p w14:paraId="28F76EFC">
      <w:pPr>
        <w:spacing w:line="360" w:lineRule="auto"/>
        <w:ind w:firstLine="584" w:firstLineChars="200"/>
        <w:rPr>
          <w:rFonts w:ascii="宋体" w:hAnsi="宋体"/>
          <w:spacing w:val="6"/>
          <w:sz w:val="28"/>
          <w:szCs w:val="28"/>
        </w:rPr>
      </w:pPr>
      <w:r>
        <w:rPr>
          <w:rFonts w:hint="eastAsia" w:ascii="宋体" w:hAnsi="宋体"/>
          <w:spacing w:val="6"/>
          <w:sz w:val="28"/>
          <w:szCs w:val="28"/>
        </w:rPr>
        <w:t>6.唱价：工作人员当众按供应商的签到顺序开启报价一览表，唱价员宣读供应商名称、基础报价等主要内容，供应商法定代表人或其授权代表签字确认。</w:t>
      </w:r>
    </w:p>
    <w:p w14:paraId="14D55258">
      <w:pPr>
        <w:spacing w:line="360" w:lineRule="auto"/>
        <w:ind w:firstLine="562" w:firstLineChars="200"/>
        <w:outlineLvl w:val="2"/>
        <w:rPr>
          <w:rFonts w:ascii="黑体" w:hAnsi="黑体" w:eastAsia="黑体" w:cs="黑体"/>
          <w:b/>
          <w:color w:val="000000"/>
          <w:kern w:val="0"/>
          <w:sz w:val="28"/>
          <w:szCs w:val="28"/>
        </w:rPr>
      </w:pPr>
      <w:bookmarkStart w:id="19" w:name="_Toc346617325"/>
      <w:bookmarkStart w:id="20" w:name="_Toc389658238"/>
      <w:bookmarkStart w:id="21" w:name="_Toc4857"/>
      <w:r>
        <w:rPr>
          <w:rFonts w:hint="eastAsia" w:ascii="黑体" w:hAnsi="黑体" w:eastAsia="黑体" w:cs="黑体"/>
          <w:b/>
          <w:color w:val="000000"/>
          <w:kern w:val="0"/>
          <w:sz w:val="28"/>
          <w:szCs w:val="28"/>
        </w:rPr>
        <w:t>二、谈判小组</w:t>
      </w:r>
      <w:bookmarkEnd w:id="19"/>
      <w:bookmarkEnd w:id="20"/>
      <w:bookmarkEnd w:id="21"/>
    </w:p>
    <w:p w14:paraId="6A1F921D">
      <w:pPr>
        <w:spacing w:line="360" w:lineRule="auto"/>
        <w:ind w:firstLine="560" w:firstLineChars="200"/>
        <w:rPr>
          <w:rFonts w:ascii="宋体" w:hAnsi="宋体"/>
          <w:sz w:val="28"/>
          <w:szCs w:val="28"/>
        </w:rPr>
      </w:pPr>
      <w:r>
        <w:rPr>
          <w:rFonts w:hint="eastAsia" w:ascii="宋体" w:hAnsi="宋体"/>
          <w:sz w:val="28"/>
          <w:szCs w:val="28"/>
        </w:rPr>
        <w:t>采购领导小组将根据本项目的特点依法组建谈判小组，其成员由有关方面的专家3人以上的单数组成，其中工程技术、经济方面的专家不得少于谈判小组成员总数的三分之二，谈判小组负责审阅报价文件，与各供应商进行商务、技术谈判，推荐成交供应商候选人或经采购人授权确定出成交供应商。</w:t>
      </w:r>
    </w:p>
    <w:p w14:paraId="3D399E4C">
      <w:pPr>
        <w:spacing w:line="360" w:lineRule="auto"/>
        <w:ind w:firstLine="562" w:firstLineChars="200"/>
        <w:outlineLvl w:val="2"/>
        <w:rPr>
          <w:rFonts w:ascii="黑体" w:hAnsi="黑体" w:eastAsia="黑体" w:cs="黑体"/>
          <w:b/>
          <w:color w:val="000000"/>
          <w:kern w:val="0"/>
          <w:sz w:val="28"/>
          <w:szCs w:val="28"/>
        </w:rPr>
      </w:pPr>
      <w:bookmarkStart w:id="22" w:name="_Toc9774"/>
      <w:bookmarkStart w:id="23" w:name="_Toc346617326"/>
      <w:bookmarkStart w:id="24" w:name="_Toc389658239"/>
      <w:r>
        <w:rPr>
          <w:rFonts w:hint="eastAsia" w:ascii="黑体" w:hAnsi="黑体" w:eastAsia="黑体" w:cs="黑体"/>
          <w:b/>
          <w:color w:val="000000"/>
          <w:kern w:val="0"/>
          <w:sz w:val="28"/>
          <w:szCs w:val="28"/>
        </w:rPr>
        <w:t>三、谈判原则和评审办法</w:t>
      </w:r>
      <w:bookmarkEnd w:id="22"/>
      <w:bookmarkEnd w:id="23"/>
      <w:bookmarkEnd w:id="24"/>
    </w:p>
    <w:p w14:paraId="57531C92">
      <w:pPr>
        <w:spacing w:line="360" w:lineRule="auto"/>
        <w:rPr>
          <w:rFonts w:ascii="宋体" w:hAnsi="宋体"/>
          <w:bCs/>
          <w:sz w:val="28"/>
          <w:szCs w:val="28"/>
        </w:rPr>
      </w:pPr>
      <w:r>
        <w:rPr>
          <w:rFonts w:hint="eastAsia" w:ascii="宋体" w:hAnsi="宋体"/>
          <w:bCs/>
          <w:sz w:val="28"/>
          <w:szCs w:val="28"/>
        </w:rPr>
        <w:t>（一）谈判原则</w:t>
      </w:r>
    </w:p>
    <w:p w14:paraId="68C1CE76">
      <w:pPr>
        <w:spacing w:line="360" w:lineRule="auto"/>
        <w:ind w:firstLine="420" w:firstLineChars="150"/>
        <w:rPr>
          <w:rFonts w:ascii="宋体" w:hAnsi="宋体"/>
          <w:bCs/>
          <w:sz w:val="28"/>
          <w:szCs w:val="28"/>
        </w:rPr>
      </w:pPr>
      <w:r>
        <w:rPr>
          <w:rFonts w:hint="eastAsia" w:ascii="宋体" w:hAnsi="宋体"/>
          <w:bCs/>
          <w:sz w:val="28"/>
          <w:szCs w:val="28"/>
        </w:rPr>
        <w:t>“公平、公正、择优、效益”为本次竞争性谈判的基本原则，谈判小组按照这一原则的要求，公正、平等地对待各供应商。同时，在谈判过程中恪守以下原则：</w:t>
      </w:r>
    </w:p>
    <w:p w14:paraId="380C0BE6">
      <w:pPr>
        <w:spacing w:line="360" w:lineRule="auto"/>
        <w:ind w:firstLine="420" w:firstLineChars="150"/>
        <w:rPr>
          <w:rFonts w:ascii="宋体" w:hAnsi="宋体"/>
          <w:bCs/>
          <w:sz w:val="28"/>
          <w:szCs w:val="28"/>
        </w:rPr>
      </w:pPr>
      <w:r>
        <w:rPr>
          <w:rFonts w:hint="eastAsia" w:ascii="宋体" w:hAnsi="宋体"/>
          <w:bCs/>
          <w:sz w:val="28"/>
          <w:szCs w:val="28"/>
        </w:rPr>
        <w:t>1.统一性原则：谈判小组将按照统一的谈判原则和谈判方法，用同一标准进行评审。</w:t>
      </w:r>
    </w:p>
    <w:p w14:paraId="5DA30B1A">
      <w:pPr>
        <w:spacing w:line="360" w:lineRule="auto"/>
        <w:ind w:firstLine="420" w:firstLineChars="150"/>
        <w:rPr>
          <w:rFonts w:ascii="宋体" w:hAnsi="宋体"/>
          <w:bCs/>
          <w:sz w:val="28"/>
          <w:szCs w:val="28"/>
        </w:rPr>
      </w:pPr>
      <w:r>
        <w:rPr>
          <w:rFonts w:hint="eastAsia" w:ascii="宋体" w:hAnsi="宋体"/>
          <w:bCs/>
          <w:sz w:val="28"/>
          <w:szCs w:val="28"/>
        </w:rPr>
        <w:t>2.独立性原则：谈判工作在谈判小组内部独立进行，不受外界任何因素的干扰和影响。谈判小组成员对出具的谈判意见承担个人责任。</w:t>
      </w:r>
    </w:p>
    <w:p w14:paraId="3B5CF101">
      <w:pPr>
        <w:spacing w:line="360" w:lineRule="auto"/>
        <w:ind w:firstLine="420" w:firstLineChars="150"/>
        <w:rPr>
          <w:rFonts w:ascii="宋体" w:hAnsi="宋体"/>
          <w:bCs/>
          <w:sz w:val="28"/>
          <w:szCs w:val="28"/>
        </w:rPr>
      </w:pPr>
      <w:r>
        <w:rPr>
          <w:rFonts w:hint="eastAsia" w:ascii="宋体" w:hAnsi="宋体"/>
          <w:bCs/>
          <w:sz w:val="28"/>
          <w:szCs w:val="28"/>
        </w:rPr>
        <w:t>3.物有所值原则：通过第一轮的公开报价，激发供应商展开竞争，进一步优化方案，并使报价符合预期目标。</w:t>
      </w:r>
    </w:p>
    <w:p w14:paraId="38F91A4E">
      <w:pPr>
        <w:spacing w:line="360" w:lineRule="auto"/>
        <w:ind w:firstLine="420" w:firstLineChars="150"/>
        <w:rPr>
          <w:rFonts w:ascii="宋体" w:hAnsi="宋体"/>
          <w:bCs/>
          <w:sz w:val="28"/>
          <w:szCs w:val="28"/>
        </w:rPr>
      </w:pPr>
      <w:r>
        <w:rPr>
          <w:rFonts w:hint="eastAsia" w:ascii="宋体" w:hAnsi="宋体"/>
          <w:bCs/>
          <w:sz w:val="28"/>
          <w:szCs w:val="28"/>
        </w:rPr>
        <w:t>4.保密性原则：采购领导小组将采取必要的措施，保证谈判在严格保密的情况下进行。</w:t>
      </w:r>
    </w:p>
    <w:p w14:paraId="38A63E0A">
      <w:pPr>
        <w:spacing w:line="360" w:lineRule="auto"/>
        <w:ind w:firstLine="420" w:firstLineChars="150"/>
        <w:rPr>
          <w:rFonts w:ascii="宋体" w:hAnsi="宋体"/>
          <w:bCs/>
          <w:sz w:val="28"/>
          <w:szCs w:val="28"/>
        </w:rPr>
      </w:pPr>
      <w:r>
        <w:rPr>
          <w:rFonts w:hint="eastAsia" w:ascii="宋体" w:hAnsi="宋体"/>
          <w:bCs/>
          <w:sz w:val="28"/>
          <w:szCs w:val="28"/>
        </w:rPr>
        <w:t>5. 合理低价原则：谈判小组综合评定各供应商提交的报价文件，在符合采购需求、质量和服务相等的前提下，以提出最低报价的供应商为成交供应商。</w:t>
      </w:r>
    </w:p>
    <w:p w14:paraId="6A8FD1C3">
      <w:pPr>
        <w:spacing w:line="360" w:lineRule="auto"/>
        <w:rPr>
          <w:rFonts w:ascii="宋体" w:hAnsi="宋体"/>
          <w:bCs/>
          <w:sz w:val="28"/>
          <w:szCs w:val="28"/>
        </w:rPr>
      </w:pPr>
      <w:r>
        <w:rPr>
          <w:rFonts w:hint="eastAsia" w:ascii="宋体" w:hAnsi="宋体"/>
          <w:bCs/>
          <w:sz w:val="28"/>
          <w:szCs w:val="28"/>
        </w:rPr>
        <w:t>（二）评审办法</w:t>
      </w:r>
    </w:p>
    <w:p w14:paraId="1155ACDC">
      <w:pPr>
        <w:spacing w:line="360" w:lineRule="auto"/>
        <w:ind w:firstLine="560" w:firstLineChars="200"/>
        <w:rPr>
          <w:rFonts w:ascii="宋体" w:hAnsi="宋体"/>
          <w:bCs/>
          <w:sz w:val="28"/>
          <w:szCs w:val="28"/>
        </w:rPr>
      </w:pPr>
      <w:r>
        <w:rPr>
          <w:rFonts w:hint="eastAsia" w:ascii="宋体" w:hAnsi="宋体"/>
          <w:bCs/>
          <w:sz w:val="28"/>
          <w:szCs w:val="28"/>
        </w:rPr>
        <w:t>本次评标采用最低评标价法，谈判小组综合评定各供应商提交的报价文件，在符合采购需求、质量和服务相等的前提下，以提出最低报价的供应商为成交供应商。</w:t>
      </w:r>
    </w:p>
    <w:p w14:paraId="2E79D404">
      <w:pPr>
        <w:spacing w:line="360" w:lineRule="auto"/>
        <w:ind w:firstLine="560" w:firstLineChars="200"/>
        <w:rPr>
          <w:rFonts w:ascii="宋体" w:hAnsi="宋体"/>
          <w:bCs/>
          <w:sz w:val="28"/>
          <w:szCs w:val="28"/>
        </w:rPr>
      </w:pPr>
      <w:r>
        <w:rPr>
          <w:rFonts w:hint="eastAsia" w:ascii="宋体" w:hAnsi="宋体"/>
          <w:bCs/>
          <w:sz w:val="28"/>
          <w:szCs w:val="28"/>
        </w:rPr>
        <w:t>1.初步评审</w:t>
      </w:r>
    </w:p>
    <w:p w14:paraId="0ABF10E7">
      <w:pPr>
        <w:spacing w:line="360" w:lineRule="auto"/>
        <w:ind w:firstLine="420" w:firstLineChars="150"/>
        <w:rPr>
          <w:rFonts w:ascii="宋体" w:hAnsi="宋体"/>
          <w:bCs/>
          <w:sz w:val="28"/>
          <w:szCs w:val="28"/>
        </w:rPr>
      </w:pPr>
      <w:r>
        <w:rPr>
          <w:rFonts w:hint="eastAsia" w:ascii="宋体" w:hAnsi="宋体"/>
          <w:bCs/>
          <w:sz w:val="28"/>
          <w:szCs w:val="28"/>
        </w:rPr>
        <w:t>谈判小组对供应商进行资格审查。资格审查指依据法律、法规和竞争性谈判文件的规定，对报价文件中的资格证明、报价保证金等进行审查，如果供应商出现没有按照要求提交全部资格证明文件或资格证明无效。</w:t>
      </w:r>
    </w:p>
    <w:p w14:paraId="09937C45">
      <w:pPr>
        <w:spacing w:line="360" w:lineRule="auto"/>
        <w:ind w:firstLine="560" w:firstLineChars="200"/>
        <w:rPr>
          <w:rFonts w:ascii="宋体" w:hAnsi="宋体"/>
          <w:bCs/>
          <w:sz w:val="28"/>
          <w:szCs w:val="28"/>
        </w:rPr>
      </w:pPr>
      <w:r>
        <w:rPr>
          <w:rFonts w:hint="eastAsia" w:ascii="宋体" w:hAnsi="宋体"/>
          <w:bCs/>
          <w:sz w:val="28"/>
          <w:szCs w:val="28"/>
        </w:rPr>
        <w:t>2.谈判</w:t>
      </w:r>
    </w:p>
    <w:p w14:paraId="138B9A34">
      <w:pPr>
        <w:spacing w:line="360" w:lineRule="auto"/>
        <w:ind w:firstLine="560" w:firstLineChars="200"/>
        <w:rPr>
          <w:rFonts w:ascii="宋体" w:hAnsi="宋体"/>
          <w:bCs/>
          <w:sz w:val="28"/>
          <w:szCs w:val="28"/>
        </w:rPr>
      </w:pPr>
      <w:r>
        <w:rPr>
          <w:rFonts w:hint="eastAsia" w:ascii="宋体" w:hAnsi="宋体"/>
          <w:bCs/>
          <w:sz w:val="28"/>
          <w:szCs w:val="28"/>
        </w:rPr>
        <w:t>谈判小组将与通过资格审查的供应商分别进行谈判。在谈判中，谈判的任何一方不得透露与谈判有关的其他供应商的技术资料、价格和其他信息。竞争性谈判文件有实质性变动的，谈判小组将以书面形式通知所有参加谈判的供应商。</w:t>
      </w:r>
    </w:p>
    <w:p w14:paraId="302C83FF">
      <w:pPr>
        <w:spacing w:line="360" w:lineRule="auto"/>
        <w:ind w:firstLine="280" w:firstLineChars="100"/>
        <w:rPr>
          <w:rFonts w:ascii="宋体" w:hAnsi="宋体"/>
          <w:bCs/>
          <w:sz w:val="28"/>
          <w:szCs w:val="28"/>
        </w:rPr>
      </w:pPr>
      <w:r>
        <w:rPr>
          <w:rFonts w:hint="eastAsia" w:ascii="宋体" w:hAnsi="宋体"/>
          <w:bCs/>
          <w:sz w:val="28"/>
          <w:szCs w:val="28"/>
        </w:rPr>
        <w:t>（1）供应商在谈判小组规定的时间内按要求再次以书面形式报价，并由法定代表人或授权代理人签字确认。</w:t>
      </w:r>
    </w:p>
    <w:p w14:paraId="3F2DCB24">
      <w:pPr>
        <w:spacing w:line="360" w:lineRule="auto"/>
        <w:ind w:firstLine="280" w:firstLineChars="100"/>
        <w:rPr>
          <w:rFonts w:ascii="宋体" w:hAnsi="宋体"/>
          <w:bCs/>
          <w:sz w:val="28"/>
          <w:szCs w:val="28"/>
        </w:rPr>
      </w:pPr>
      <w:r>
        <w:rPr>
          <w:rFonts w:hint="eastAsia" w:ascii="宋体" w:hAnsi="宋体"/>
          <w:bCs/>
          <w:sz w:val="28"/>
          <w:szCs w:val="28"/>
        </w:rPr>
        <w:t>（2）最终报价后，重大偏离不允许被修正，但谈判小组将允许修正报价中不构成重大偏离的地方，这些修正不会对其他实质上响应竞争性谈判文件要求的供应商的竞争地位产生不公正的影响。</w:t>
      </w:r>
    </w:p>
    <w:p w14:paraId="5074BD60">
      <w:pPr>
        <w:spacing w:line="360" w:lineRule="auto"/>
        <w:ind w:firstLine="280" w:firstLineChars="100"/>
        <w:rPr>
          <w:rFonts w:ascii="宋体" w:hAnsi="宋体"/>
          <w:bCs/>
          <w:sz w:val="28"/>
          <w:szCs w:val="28"/>
        </w:rPr>
      </w:pPr>
      <w:r>
        <w:rPr>
          <w:rFonts w:hint="eastAsia" w:ascii="宋体" w:hAnsi="宋体"/>
          <w:bCs/>
          <w:sz w:val="28"/>
          <w:szCs w:val="28"/>
        </w:rPr>
        <w:t>（3）如出现供应商达不到法定数量，供应商最终报价均超出采购预算，谈判小组有权否决所有报价，采购人另行采购。</w:t>
      </w:r>
    </w:p>
    <w:p w14:paraId="30430D44">
      <w:pPr>
        <w:spacing w:line="360" w:lineRule="auto"/>
        <w:ind w:firstLine="560" w:firstLineChars="200"/>
        <w:rPr>
          <w:rFonts w:ascii="宋体" w:hAnsi="宋体"/>
          <w:bCs/>
          <w:sz w:val="28"/>
          <w:szCs w:val="28"/>
        </w:rPr>
      </w:pPr>
      <w:r>
        <w:rPr>
          <w:rFonts w:hint="eastAsia" w:ascii="宋体" w:hAnsi="宋体"/>
          <w:bCs/>
          <w:sz w:val="28"/>
          <w:szCs w:val="28"/>
        </w:rPr>
        <w:t>3．确定成交供应商</w:t>
      </w:r>
    </w:p>
    <w:p w14:paraId="7D2EB4CC">
      <w:pPr>
        <w:spacing w:line="360" w:lineRule="auto"/>
        <w:ind w:firstLine="560" w:firstLineChars="200"/>
        <w:rPr>
          <w:rFonts w:ascii="宋体" w:hAnsi="宋体"/>
          <w:bCs/>
          <w:sz w:val="28"/>
          <w:szCs w:val="28"/>
        </w:rPr>
      </w:pPr>
      <w:r>
        <w:rPr>
          <w:rFonts w:hint="eastAsia" w:ascii="宋体" w:hAnsi="宋体"/>
          <w:bCs/>
          <w:sz w:val="28"/>
          <w:szCs w:val="28"/>
        </w:rPr>
        <w:t>以供应商最后一轮谈判的报价及承诺作为谈判小组确定成交供应商的依据。谈判小组综合评定各供应商提交的报价文件，在符合采购需求、质量和服务相等的前提下，以提出最低报价的供应商为成交供应商。</w:t>
      </w:r>
    </w:p>
    <w:p w14:paraId="0E6C2180">
      <w:pPr>
        <w:spacing w:line="360" w:lineRule="auto"/>
        <w:ind w:firstLine="562" w:firstLineChars="200"/>
        <w:outlineLvl w:val="2"/>
        <w:rPr>
          <w:rFonts w:ascii="黑体" w:hAnsi="黑体" w:eastAsia="黑体" w:cs="黑体"/>
          <w:b/>
          <w:color w:val="000000"/>
          <w:kern w:val="0"/>
          <w:sz w:val="28"/>
          <w:szCs w:val="28"/>
        </w:rPr>
      </w:pPr>
      <w:bookmarkStart w:id="25" w:name="_Toc27071"/>
      <w:r>
        <w:rPr>
          <w:rFonts w:hint="eastAsia" w:ascii="黑体" w:hAnsi="黑体" w:eastAsia="黑体" w:cs="黑体"/>
          <w:b/>
          <w:color w:val="000000"/>
          <w:kern w:val="0"/>
          <w:sz w:val="28"/>
          <w:szCs w:val="28"/>
        </w:rPr>
        <w:t>四、谈判纪律</w:t>
      </w:r>
      <w:bookmarkEnd w:id="25"/>
    </w:p>
    <w:p w14:paraId="45103ADD">
      <w:pPr>
        <w:spacing w:line="360" w:lineRule="auto"/>
        <w:ind w:firstLine="420" w:firstLineChars="150"/>
        <w:rPr>
          <w:rFonts w:ascii="宋体" w:hAnsi="宋体"/>
          <w:bCs/>
          <w:sz w:val="28"/>
          <w:szCs w:val="28"/>
        </w:rPr>
      </w:pPr>
      <w:r>
        <w:rPr>
          <w:rFonts w:hint="eastAsia" w:ascii="宋体" w:hAnsi="宋体"/>
          <w:bCs/>
          <w:sz w:val="28"/>
          <w:szCs w:val="28"/>
        </w:rPr>
        <w:t>1．谈判小组内部讨论的情况和意见必须保密，任何人不得以任何形式透露给供应商或与供应商有关的单位或个人。</w:t>
      </w:r>
    </w:p>
    <w:p w14:paraId="4FE48FE5">
      <w:pPr>
        <w:spacing w:line="360" w:lineRule="auto"/>
        <w:ind w:firstLine="420" w:firstLineChars="150"/>
        <w:rPr>
          <w:rFonts w:ascii="宋体" w:hAnsi="宋体"/>
          <w:bCs/>
          <w:sz w:val="28"/>
          <w:szCs w:val="28"/>
        </w:rPr>
      </w:pPr>
      <w:r>
        <w:rPr>
          <w:rFonts w:hint="eastAsia" w:ascii="宋体" w:hAnsi="宋体"/>
          <w:bCs/>
          <w:sz w:val="28"/>
          <w:szCs w:val="28"/>
        </w:rPr>
        <w:t>2．谈判小组成员在谈判期间不得与供应商进行私下接触，不得私自离开谈判现场，如确需离开现场须在监督下进行，并按时返回。</w:t>
      </w:r>
    </w:p>
    <w:p w14:paraId="26CCF9BD">
      <w:pPr>
        <w:spacing w:line="360" w:lineRule="auto"/>
        <w:ind w:firstLine="420" w:firstLineChars="150"/>
        <w:rPr>
          <w:rFonts w:ascii="宋体" w:hAnsi="宋体"/>
          <w:bCs/>
          <w:sz w:val="28"/>
          <w:szCs w:val="28"/>
        </w:rPr>
      </w:pPr>
      <w:r>
        <w:rPr>
          <w:rFonts w:hint="eastAsia" w:ascii="宋体" w:hAnsi="宋体"/>
          <w:bCs/>
          <w:sz w:val="28"/>
          <w:szCs w:val="28"/>
        </w:rPr>
        <w:t>3．在谈判过程中，供应商不得以任何形式对谈判小组成员进行旨在影响谈判及结果的任何行为，否则取消其谈判资格。</w:t>
      </w:r>
    </w:p>
    <w:p w14:paraId="7BC26B0C">
      <w:pPr>
        <w:spacing w:line="360" w:lineRule="auto"/>
        <w:ind w:firstLine="420" w:firstLineChars="150"/>
        <w:rPr>
          <w:rFonts w:ascii="宋体" w:hAnsi="宋体"/>
          <w:bCs/>
          <w:sz w:val="28"/>
          <w:szCs w:val="28"/>
        </w:rPr>
      </w:pPr>
      <w:r>
        <w:rPr>
          <w:rFonts w:hint="eastAsia" w:ascii="宋体" w:hAnsi="宋体"/>
          <w:bCs/>
          <w:sz w:val="28"/>
          <w:szCs w:val="28"/>
        </w:rPr>
        <w:t>4．在谈判过程中，供应商对报价文件的内容在符合竞争性谈判文件的前提下可进行修改，但最终报价必须以书面形式确认。</w:t>
      </w:r>
    </w:p>
    <w:p w14:paraId="19F2A2B9">
      <w:pPr>
        <w:spacing w:line="360" w:lineRule="auto"/>
        <w:ind w:firstLine="562" w:firstLineChars="200"/>
        <w:outlineLvl w:val="2"/>
        <w:rPr>
          <w:rFonts w:ascii="黑体" w:hAnsi="黑体" w:eastAsia="黑体" w:cs="黑体"/>
          <w:b/>
          <w:color w:val="000000"/>
          <w:kern w:val="0"/>
          <w:sz w:val="28"/>
          <w:szCs w:val="28"/>
        </w:rPr>
      </w:pPr>
      <w:bookmarkStart w:id="26" w:name="_Toc26478"/>
      <w:r>
        <w:rPr>
          <w:rFonts w:hint="eastAsia" w:ascii="黑体" w:hAnsi="黑体" w:eastAsia="黑体" w:cs="黑体"/>
          <w:b/>
          <w:color w:val="000000"/>
          <w:kern w:val="0"/>
          <w:sz w:val="28"/>
          <w:szCs w:val="28"/>
        </w:rPr>
        <w:t>五、成交通知书</w:t>
      </w:r>
      <w:bookmarkEnd w:id="26"/>
    </w:p>
    <w:p w14:paraId="0B11FEB9">
      <w:pPr>
        <w:spacing w:line="360" w:lineRule="auto"/>
        <w:ind w:firstLine="420" w:firstLineChars="150"/>
        <w:rPr>
          <w:rFonts w:ascii="宋体" w:hAnsi="宋体"/>
          <w:bCs/>
          <w:sz w:val="28"/>
          <w:szCs w:val="28"/>
        </w:rPr>
      </w:pPr>
      <w:r>
        <w:rPr>
          <w:rFonts w:hint="eastAsia" w:ascii="宋体" w:hAnsi="宋体"/>
          <w:bCs/>
          <w:sz w:val="28"/>
          <w:szCs w:val="28"/>
        </w:rPr>
        <w:t>确定成交结果后，在谈判有效期内，采购领导小组办公室向成交供应商签发《成交通知书》。对未成交者，采购人不对未成交原因做出解释，同时亦不退还报价文件。</w:t>
      </w:r>
    </w:p>
    <w:p w14:paraId="5953D9A3">
      <w:pPr>
        <w:spacing w:line="360" w:lineRule="auto"/>
        <w:ind w:firstLine="562" w:firstLineChars="200"/>
        <w:outlineLvl w:val="2"/>
        <w:rPr>
          <w:rFonts w:ascii="黑体" w:hAnsi="黑体" w:eastAsia="黑体" w:cs="黑体"/>
          <w:b/>
          <w:color w:val="000000"/>
          <w:kern w:val="0"/>
          <w:sz w:val="28"/>
          <w:szCs w:val="28"/>
        </w:rPr>
      </w:pPr>
      <w:bookmarkStart w:id="27" w:name="_Toc5483"/>
      <w:r>
        <w:rPr>
          <w:rFonts w:hint="eastAsia" w:ascii="黑体" w:hAnsi="黑体" w:eastAsia="黑体" w:cs="黑体"/>
          <w:b/>
          <w:color w:val="000000"/>
          <w:kern w:val="0"/>
          <w:sz w:val="28"/>
          <w:szCs w:val="28"/>
        </w:rPr>
        <w:t>六、授予合同</w:t>
      </w:r>
      <w:bookmarkEnd w:id="27"/>
    </w:p>
    <w:p w14:paraId="4CC696EE">
      <w:pPr>
        <w:spacing w:line="360" w:lineRule="auto"/>
        <w:ind w:firstLine="280" w:firstLineChars="100"/>
        <w:rPr>
          <w:rFonts w:ascii="宋体" w:hAnsi="宋体"/>
          <w:bCs/>
          <w:sz w:val="28"/>
          <w:szCs w:val="28"/>
        </w:rPr>
      </w:pPr>
      <w:r>
        <w:rPr>
          <w:rFonts w:hint="eastAsia" w:ascii="宋体" w:hAnsi="宋体"/>
          <w:bCs/>
          <w:sz w:val="28"/>
          <w:szCs w:val="28"/>
        </w:rPr>
        <w:t>《成交通知书》发出后15日内，采购人与成交供应商签订合同。</w:t>
      </w:r>
    </w:p>
    <w:p w14:paraId="35AD5199">
      <w:pPr>
        <w:rPr>
          <w:rFonts w:asciiTheme="minorEastAsia" w:hAnsiTheme="minorEastAsia"/>
          <w:color w:val="1F497D" w:themeColor="text2"/>
          <w:sz w:val="36"/>
          <w:szCs w:val="36"/>
        </w:rPr>
      </w:pPr>
    </w:p>
    <w:p w14:paraId="7B3506D5">
      <w:pPr>
        <w:rPr>
          <w:rFonts w:asciiTheme="minorEastAsia" w:hAnsiTheme="minorEastAsia"/>
          <w:color w:val="1F497D" w:themeColor="text2"/>
          <w:sz w:val="36"/>
          <w:szCs w:val="36"/>
        </w:rPr>
      </w:pPr>
    </w:p>
    <w:p w14:paraId="1977E80B">
      <w:pPr>
        <w:rPr>
          <w:rFonts w:asciiTheme="minorEastAsia" w:hAnsiTheme="minorEastAsia"/>
          <w:color w:val="1F497D" w:themeColor="text2"/>
          <w:sz w:val="36"/>
          <w:szCs w:val="36"/>
        </w:rPr>
      </w:pPr>
    </w:p>
    <w:p w14:paraId="73C605B4">
      <w:pPr>
        <w:rPr>
          <w:rFonts w:asciiTheme="minorEastAsia" w:hAnsiTheme="minorEastAsia"/>
          <w:color w:val="1F497D" w:themeColor="text2"/>
          <w:sz w:val="36"/>
          <w:szCs w:val="36"/>
        </w:rPr>
      </w:pPr>
    </w:p>
    <w:p w14:paraId="0D4E0184">
      <w:pPr>
        <w:rPr>
          <w:rFonts w:asciiTheme="minorEastAsia" w:hAnsiTheme="minorEastAsia"/>
          <w:color w:val="1F497D" w:themeColor="text2"/>
          <w:sz w:val="36"/>
          <w:szCs w:val="36"/>
        </w:rPr>
      </w:pPr>
    </w:p>
    <w:p w14:paraId="4E5FAB31">
      <w:pPr>
        <w:rPr>
          <w:rFonts w:asciiTheme="minorEastAsia" w:hAnsiTheme="minorEastAsia"/>
          <w:color w:val="1F497D" w:themeColor="text2"/>
          <w:sz w:val="36"/>
          <w:szCs w:val="36"/>
        </w:rPr>
      </w:pPr>
    </w:p>
    <w:p w14:paraId="7FECFAEF">
      <w:pPr>
        <w:rPr>
          <w:rFonts w:asciiTheme="minorEastAsia" w:hAnsiTheme="minorEastAsia"/>
          <w:color w:val="1F497D" w:themeColor="text2"/>
          <w:sz w:val="36"/>
          <w:szCs w:val="36"/>
        </w:rPr>
      </w:pPr>
    </w:p>
    <w:p w14:paraId="4BB43054">
      <w:pPr>
        <w:spacing w:line="360" w:lineRule="auto"/>
        <w:ind w:firstLine="602" w:firstLineChars="200"/>
        <w:jc w:val="center"/>
        <w:outlineLvl w:val="2"/>
        <w:rPr>
          <w:rFonts w:ascii="宋体" w:hAnsi="宋体" w:eastAsia="宋体" w:cs="宋体"/>
          <w:b/>
          <w:color w:val="000000"/>
          <w:kern w:val="0"/>
          <w:sz w:val="30"/>
          <w:szCs w:val="30"/>
        </w:rPr>
      </w:pPr>
      <w:bookmarkStart w:id="28" w:name="_Toc21960"/>
      <w:r>
        <w:rPr>
          <w:rFonts w:hint="eastAsia" w:ascii="宋体" w:hAnsi="宋体" w:eastAsia="宋体" w:cs="宋体"/>
          <w:b/>
          <w:color w:val="000000"/>
          <w:kern w:val="0"/>
          <w:sz w:val="30"/>
          <w:szCs w:val="30"/>
        </w:rPr>
        <w:t>第五章  合同草案（以实际签订为准）</w:t>
      </w:r>
      <w:bookmarkEnd w:id="28"/>
    </w:p>
    <w:p w14:paraId="77BE1EF9">
      <w:pPr>
        <w:pStyle w:val="21"/>
        <w:ind w:firstLine="0" w:firstLineChars="0"/>
        <w:jc w:val="center"/>
        <w:rPr>
          <w:rFonts w:asciiTheme="minorEastAsia" w:hAnsiTheme="minorEastAsia"/>
          <w:sz w:val="36"/>
          <w:szCs w:val="36"/>
        </w:rPr>
      </w:pPr>
    </w:p>
    <w:p w14:paraId="775A6A8A">
      <w:pPr>
        <w:pStyle w:val="21"/>
        <w:ind w:firstLine="0" w:firstLineChars="0"/>
        <w:jc w:val="center"/>
        <w:rPr>
          <w:rFonts w:asciiTheme="minorEastAsia" w:hAnsiTheme="minorEastAsia"/>
          <w:sz w:val="36"/>
          <w:szCs w:val="36"/>
        </w:rPr>
      </w:pPr>
    </w:p>
    <w:p w14:paraId="3DA965A1">
      <w:pPr>
        <w:pStyle w:val="21"/>
        <w:ind w:firstLine="0" w:firstLineChars="0"/>
        <w:jc w:val="center"/>
        <w:rPr>
          <w:rFonts w:asciiTheme="minorEastAsia" w:hAnsiTheme="minorEastAsia"/>
          <w:sz w:val="36"/>
          <w:szCs w:val="36"/>
        </w:rPr>
      </w:pPr>
    </w:p>
    <w:p w14:paraId="73BE65A7">
      <w:pPr>
        <w:pStyle w:val="21"/>
        <w:ind w:firstLine="0" w:firstLineChars="0"/>
        <w:jc w:val="center"/>
        <w:rPr>
          <w:rFonts w:asciiTheme="minorEastAsia" w:hAnsiTheme="minorEastAsia"/>
          <w:sz w:val="36"/>
          <w:szCs w:val="36"/>
        </w:rPr>
      </w:pPr>
    </w:p>
    <w:p w14:paraId="40CC8194"/>
    <w:p w14:paraId="4B6297D1">
      <w:pPr>
        <w:jc w:val="center"/>
        <w:rPr>
          <w:rFonts w:ascii="黑体" w:hAnsi="黑体" w:eastAsia="黑体" w:cs="黑体"/>
          <w:sz w:val="32"/>
          <w:szCs w:val="32"/>
        </w:rPr>
      </w:pPr>
      <w:r>
        <w:rPr>
          <w:rFonts w:hint="eastAsia" w:ascii="黑体" w:hAnsi="黑体" w:eastAsia="黑体" w:cs="黑体"/>
          <w:sz w:val="32"/>
          <w:szCs w:val="32"/>
        </w:rPr>
        <w:t>合同编号:DZGC-    -DKGS-    号</w:t>
      </w:r>
    </w:p>
    <w:p w14:paraId="6109503D"/>
    <w:p w14:paraId="157BC3EE"/>
    <w:p w14:paraId="757ADD6C"/>
    <w:p w14:paraId="4CA54053">
      <w:pPr>
        <w:jc w:val="center"/>
        <w:rPr>
          <w:rFonts w:ascii="黑体" w:hAnsi="黑体" w:eastAsia="黑体" w:cs="黑体"/>
          <w:sz w:val="44"/>
          <w:szCs w:val="44"/>
        </w:rPr>
      </w:pPr>
      <w:r>
        <w:rPr>
          <w:rFonts w:hint="eastAsia" w:ascii="黑体" w:hAnsi="黑体" w:eastAsia="黑体" w:cs="黑体"/>
          <w:sz w:val="44"/>
          <w:szCs w:val="44"/>
        </w:rPr>
        <w:t>地质勘查项目岩心钻探施工工程</w:t>
      </w:r>
    </w:p>
    <w:p w14:paraId="2754A5D6">
      <w:pPr>
        <w:pStyle w:val="9"/>
        <w:jc w:val="center"/>
        <w:rPr>
          <w:lang w:eastAsia="zh-CN"/>
        </w:rPr>
      </w:pPr>
    </w:p>
    <w:p w14:paraId="4EB5A0A7">
      <w:pPr>
        <w:pStyle w:val="9"/>
        <w:jc w:val="center"/>
        <w:rPr>
          <w:lang w:eastAsia="zh-CN"/>
        </w:rPr>
      </w:pPr>
    </w:p>
    <w:p w14:paraId="346170E7">
      <w:pPr>
        <w:pStyle w:val="9"/>
        <w:jc w:val="center"/>
        <w:rPr>
          <w:lang w:eastAsia="zh-CN"/>
        </w:rPr>
      </w:pPr>
    </w:p>
    <w:p w14:paraId="617138D6">
      <w:pPr>
        <w:pStyle w:val="9"/>
        <w:jc w:val="center"/>
        <w:rPr>
          <w:lang w:eastAsia="zh-CN"/>
        </w:rPr>
      </w:pPr>
    </w:p>
    <w:p w14:paraId="32F34A3C">
      <w:pPr>
        <w:jc w:val="center"/>
        <w:rPr>
          <w:rFonts w:ascii="仿宋" w:hAnsi="仿宋" w:eastAsia="仿宋" w:cs="仿宋"/>
          <w:sz w:val="72"/>
          <w:szCs w:val="72"/>
        </w:rPr>
      </w:pPr>
      <w:r>
        <w:rPr>
          <w:rFonts w:hint="eastAsia" w:ascii="仿宋" w:hAnsi="仿宋" w:eastAsia="仿宋" w:cs="仿宋"/>
          <w:sz w:val="72"/>
          <w:szCs w:val="72"/>
        </w:rPr>
        <w:t>合  同  书</w:t>
      </w:r>
    </w:p>
    <w:p w14:paraId="0835C6AC">
      <w:pPr>
        <w:pStyle w:val="9"/>
        <w:jc w:val="center"/>
      </w:pPr>
    </w:p>
    <w:p w14:paraId="76E51503">
      <w:pPr>
        <w:pStyle w:val="9"/>
        <w:jc w:val="center"/>
      </w:pPr>
    </w:p>
    <w:p w14:paraId="447EE438">
      <w:pPr>
        <w:pStyle w:val="9"/>
        <w:jc w:val="center"/>
      </w:pPr>
    </w:p>
    <w:p w14:paraId="7B81FA7A">
      <w:pPr>
        <w:pStyle w:val="9"/>
        <w:jc w:val="center"/>
        <w:rPr>
          <w:lang w:eastAsia="zh-CN"/>
        </w:rPr>
      </w:pPr>
    </w:p>
    <w:tbl>
      <w:tblPr>
        <w:tblStyle w:val="17"/>
        <w:tblW w:w="0" w:type="auto"/>
        <w:tblInd w:w="0" w:type="dxa"/>
        <w:tblLayout w:type="fixed"/>
        <w:tblCellMar>
          <w:top w:w="0" w:type="dxa"/>
          <w:left w:w="108" w:type="dxa"/>
          <w:bottom w:w="0" w:type="dxa"/>
          <w:right w:w="108" w:type="dxa"/>
        </w:tblCellMar>
      </w:tblPr>
      <w:tblGrid>
        <w:gridCol w:w="2808"/>
        <w:gridCol w:w="6480"/>
      </w:tblGrid>
      <w:tr w14:paraId="1F1E64CD">
        <w:tblPrEx>
          <w:tblCellMar>
            <w:top w:w="0" w:type="dxa"/>
            <w:left w:w="108" w:type="dxa"/>
            <w:bottom w:w="0" w:type="dxa"/>
            <w:right w:w="108" w:type="dxa"/>
          </w:tblCellMar>
        </w:tblPrEx>
        <w:tc>
          <w:tcPr>
            <w:tcW w:w="2808" w:type="dxa"/>
          </w:tcPr>
          <w:p w14:paraId="53BAF389">
            <w:pPr>
              <w:pStyle w:val="9"/>
              <w:ind w:firstLine="0" w:firstLineChars="0"/>
              <w:jc w:val="right"/>
              <w:rPr>
                <w:sz w:val="30"/>
                <w:szCs w:val="30"/>
              </w:rPr>
            </w:pPr>
            <w:r>
              <w:rPr>
                <w:rFonts w:hint="eastAsia"/>
                <w:sz w:val="30"/>
                <w:szCs w:val="30"/>
              </w:rPr>
              <w:t>委托方（甲方）：</w:t>
            </w:r>
          </w:p>
        </w:tc>
        <w:tc>
          <w:tcPr>
            <w:tcW w:w="6480" w:type="dxa"/>
          </w:tcPr>
          <w:p w14:paraId="7043708A">
            <w:pPr>
              <w:pStyle w:val="9"/>
              <w:ind w:firstLine="0" w:firstLineChars="0"/>
              <w:rPr>
                <w:sz w:val="30"/>
                <w:szCs w:val="30"/>
                <w:lang w:eastAsia="zh-CN"/>
              </w:rPr>
            </w:pPr>
            <w:r>
              <w:rPr>
                <w:rFonts w:hint="eastAsia"/>
                <w:sz w:val="30"/>
                <w:szCs w:val="30"/>
                <w:lang w:eastAsia="zh-CN"/>
              </w:rPr>
              <w:t>内蒙古地质工程有限责任公司</w:t>
            </w:r>
          </w:p>
        </w:tc>
      </w:tr>
      <w:tr w14:paraId="123EC13F">
        <w:tblPrEx>
          <w:tblCellMar>
            <w:top w:w="0" w:type="dxa"/>
            <w:left w:w="108" w:type="dxa"/>
            <w:bottom w:w="0" w:type="dxa"/>
            <w:right w:w="108" w:type="dxa"/>
          </w:tblCellMar>
        </w:tblPrEx>
        <w:tc>
          <w:tcPr>
            <w:tcW w:w="2808" w:type="dxa"/>
          </w:tcPr>
          <w:p w14:paraId="7F37961E">
            <w:pPr>
              <w:pStyle w:val="9"/>
              <w:ind w:firstLine="0" w:firstLineChars="0"/>
              <w:jc w:val="right"/>
              <w:rPr>
                <w:sz w:val="30"/>
                <w:szCs w:val="30"/>
              </w:rPr>
            </w:pPr>
            <w:r>
              <w:rPr>
                <w:rFonts w:hint="eastAsia"/>
                <w:sz w:val="30"/>
                <w:szCs w:val="30"/>
              </w:rPr>
              <w:t>受托方（乙方）：</w:t>
            </w:r>
          </w:p>
        </w:tc>
        <w:tc>
          <w:tcPr>
            <w:tcW w:w="6480" w:type="dxa"/>
            <w:vAlign w:val="center"/>
          </w:tcPr>
          <w:p w14:paraId="2BCE63D6">
            <w:pPr>
              <w:pStyle w:val="9"/>
              <w:ind w:firstLine="0" w:firstLineChars="0"/>
              <w:rPr>
                <w:sz w:val="30"/>
                <w:szCs w:val="30"/>
              </w:rPr>
            </w:pPr>
          </w:p>
        </w:tc>
      </w:tr>
    </w:tbl>
    <w:p w14:paraId="0A3E3E5A">
      <w:pPr>
        <w:pStyle w:val="9"/>
        <w:ind w:firstLine="0" w:firstLineChars="0"/>
        <w:rPr>
          <w:lang w:eastAsia="zh-CN"/>
        </w:rPr>
      </w:pPr>
    </w:p>
    <w:p w14:paraId="529EC885">
      <w:pPr>
        <w:pStyle w:val="9"/>
        <w:ind w:firstLine="0" w:firstLineChars="0"/>
        <w:rPr>
          <w:lang w:eastAsia="zh-CN"/>
        </w:rPr>
      </w:pPr>
    </w:p>
    <w:p w14:paraId="71BAA62F">
      <w:pPr>
        <w:pStyle w:val="9"/>
        <w:ind w:firstLine="640"/>
        <w:jc w:val="center"/>
        <w:rPr>
          <w:sz w:val="32"/>
          <w:szCs w:val="32"/>
        </w:rPr>
      </w:pPr>
      <w:r>
        <w:rPr>
          <w:rFonts w:hint="eastAsia"/>
          <w:sz w:val="32"/>
          <w:szCs w:val="32"/>
        </w:rPr>
        <w:t>年  月  日</w:t>
      </w:r>
    </w:p>
    <w:p w14:paraId="551AE23D">
      <w:pPr>
        <w:pStyle w:val="9"/>
        <w:ind w:firstLine="640"/>
        <w:jc w:val="center"/>
        <w:rPr>
          <w:sz w:val="32"/>
          <w:szCs w:val="32"/>
        </w:rPr>
      </w:pPr>
    </w:p>
    <w:p w14:paraId="359D24C0">
      <w:pPr>
        <w:jc w:val="center"/>
        <w:rPr>
          <w:rFonts w:ascii="黑体" w:hAnsi="黑体" w:eastAsia="黑体" w:cs="黑体"/>
          <w:sz w:val="32"/>
          <w:szCs w:val="32"/>
        </w:rPr>
      </w:pPr>
      <w:r>
        <w:rPr>
          <w:rFonts w:hint="eastAsia" w:ascii="黑体" w:hAnsi="黑体" w:eastAsia="黑体" w:cs="黑体"/>
          <w:sz w:val="32"/>
          <w:szCs w:val="32"/>
        </w:rPr>
        <w:t>地质勘查项目岩心钻探施工工程合同</w:t>
      </w:r>
    </w:p>
    <w:p w14:paraId="482EED7A">
      <w:pPr>
        <w:rPr>
          <w:rFonts w:ascii="黑体" w:hAnsi="黑体" w:eastAsia="黑体" w:cs="黑体"/>
          <w:sz w:val="24"/>
          <w:szCs w:val="24"/>
        </w:rPr>
      </w:pPr>
      <w:r>
        <w:rPr>
          <w:rFonts w:hint="eastAsia" w:ascii="黑体" w:hAnsi="黑体" w:eastAsia="黑体" w:cs="黑体"/>
          <w:sz w:val="24"/>
          <w:szCs w:val="24"/>
        </w:rPr>
        <w:t>甲  方：内蒙古地质工程有限责任公司</w:t>
      </w:r>
    </w:p>
    <w:p w14:paraId="7E498BEC">
      <w:pPr>
        <w:rPr>
          <w:rFonts w:ascii="黑体" w:hAnsi="黑体" w:eastAsia="黑体" w:cs="黑体"/>
          <w:sz w:val="24"/>
          <w:szCs w:val="24"/>
        </w:rPr>
      </w:pPr>
      <w:r>
        <w:rPr>
          <w:rFonts w:hint="eastAsia" w:ascii="黑体" w:hAnsi="黑体" w:eastAsia="黑体" w:cs="黑体"/>
          <w:sz w:val="24"/>
          <w:szCs w:val="24"/>
        </w:rPr>
        <w:t xml:space="preserve">乙  方： </w:t>
      </w:r>
    </w:p>
    <w:p w14:paraId="16BA4FD8">
      <w:pPr>
        <w:pStyle w:val="9"/>
        <w:rPr>
          <w:lang w:eastAsia="zh-CN"/>
        </w:rPr>
      </w:pPr>
      <w:r>
        <w:rPr>
          <w:rFonts w:hint="eastAsia"/>
          <w:lang w:eastAsia="zh-CN"/>
        </w:rPr>
        <w:t>为完成《内蒙古镶黄旗地区2025年钻探工程服务》地质勘查岩心钻探项目，根据《中华人民共和国民法典》及有关法律、法规规定以及地质勘查行业有关标准、规范，经双方共同协商，就乙方承担甲方该项目岩心钻探施工工程一事，签定合同如下：</w:t>
      </w:r>
    </w:p>
    <w:p w14:paraId="4DAB08EB">
      <w:pPr>
        <w:spacing w:line="360" w:lineRule="auto"/>
        <w:rPr>
          <w:rFonts w:ascii="黑体" w:hAnsi="黑体" w:eastAsia="黑体" w:cs="黑体"/>
          <w:sz w:val="24"/>
          <w:szCs w:val="24"/>
        </w:rPr>
      </w:pPr>
      <w:r>
        <w:rPr>
          <w:rFonts w:hint="eastAsia" w:ascii="黑体" w:hAnsi="黑体" w:eastAsia="黑体" w:cs="黑体"/>
          <w:sz w:val="24"/>
          <w:szCs w:val="24"/>
        </w:rPr>
        <w:t>第一条  钻探施工工程内容</w:t>
      </w:r>
    </w:p>
    <w:p w14:paraId="27C52BA8">
      <w:pPr>
        <w:pStyle w:val="9"/>
        <w:rPr>
          <w:lang w:eastAsia="zh-CN"/>
        </w:rPr>
      </w:pPr>
      <w:r>
        <w:rPr>
          <w:rFonts w:hint="eastAsia"/>
          <w:lang w:eastAsia="zh-CN"/>
        </w:rPr>
        <w:t>1.1  工程名称：</w:t>
      </w:r>
      <w:r>
        <w:rPr>
          <w:rFonts w:hint="eastAsia"/>
          <w:b/>
          <w:lang w:eastAsia="zh-CN"/>
        </w:rPr>
        <w:t>《内蒙古镶黄旗地区2025年钻探工程服务》</w:t>
      </w:r>
      <w:r>
        <w:rPr>
          <w:rFonts w:hint="eastAsia"/>
          <w:lang w:eastAsia="zh-CN"/>
        </w:rPr>
        <w:t>地质勘查岩心钻探工程。</w:t>
      </w:r>
    </w:p>
    <w:p w14:paraId="768C1E86">
      <w:pPr>
        <w:pStyle w:val="9"/>
        <w:rPr>
          <w:lang w:eastAsia="zh-CN"/>
        </w:rPr>
      </w:pPr>
      <w:r>
        <w:rPr>
          <w:rFonts w:hint="eastAsia"/>
          <w:lang w:eastAsia="zh-CN"/>
        </w:rPr>
        <w:t>1.2  施工位置：以《钻孔安装通知书》为准。</w:t>
      </w:r>
    </w:p>
    <w:p w14:paraId="679FF0DA">
      <w:pPr>
        <w:pStyle w:val="9"/>
        <w:rPr>
          <w:lang w:eastAsia="zh-CN"/>
        </w:rPr>
      </w:pPr>
      <w:r>
        <w:rPr>
          <w:rFonts w:hint="eastAsia"/>
          <w:lang w:eastAsia="zh-CN"/>
        </w:rPr>
        <w:t>1.3  工程量：根据项目设计和施工进度，以甲方项目部安排为准。</w:t>
      </w:r>
    </w:p>
    <w:p w14:paraId="125AC109">
      <w:pPr>
        <w:spacing w:line="360" w:lineRule="auto"/>
        <w:rPr>
          <w:rFonts w:ascii="黑体" w:hAnsi="黑体" w:eastAsia="黑体" w:cs="黑体"/>
          <w:sz w:val="24"/>
          <w:szCs w:val="24"/>
        </w:rPr>
      </w:pPr>
      <w:r>
        <w:rPr>
          <w:rFonts w:hint="eastAsia" w:ascii="黑体" w:hAnsi="黑体" w:eastAsia="黑体" w:cs="黑体"/>
          <w:sz w:val="24"/>
          <w:szCs w:val="24"/>
        </w:rPr>
        <w:t>第二条  价格</w:t>
      </w:r>
    </w:p>
    <w:p w14:paraId="6D42DC8B">
      <w:pPr>
        <w:pStyle w:val="9"/>
        <w:rPr>
          <w:lang w:eastAsia="zh-CN"/>
        </w:rPr>
      </w:pPr>
      <w:r>
        <w:rPr>
          <w:rFonts w:hint="eastAsia"/>
          <w:lang w:eastAsia="zh-CN"/>
        </w:rPr>
        <w:t>2.1 定价原则 ：根据该地区地层情况、钻探难易程度、钻孔深度、工作量多少等综合因素，核定钻探单价(含税价格)。</w:t>
      </w:r>
    </w:p>
    <w:p w14:paraId="49A0FCE5">
      <w:pPr>
        <w:pStyle w:val="9"/>
        <w:rPr>
          <w:lang w:eastAsia="zh-CN"/>
        </w:rPr>
      </w:pPr>
      <w:r>
        <w:rPr>
          <w:rFonts w:hint="eastAsia"/>
          <w:lang w:eastAsia="zh-CN"/>
        </w:rPr>
        <w:t>2.2单价：根据实际钻孔深度，按钻探延米计价，单价见下表：</w:t>
      </w:r>
    </w:p>
    <w:p w14:paraId="3ED639ED">
      <w:pPr>
        <w:spacing w:line="360" w:lineRule="auto"/>
        <w:rPr>
          <w:rFonts w:ascii="黑体" w:hAnsi="黑体" w:eastAsia="黑体" w:cs="黑体"/>
          <w:sz w:val="24"/>
          <w:szCs w:val="24"/>
        </w:rPr>
      </w:pPr>
      <w:r>
        <w:rPr>
          <w:rFonts w:hint="eastAsia" w:ascii="黑体" w:hAnsi="黑体" w:eastAsia="黑体" w:cs="黑体"/>
          <w:sz w:val="24"/>
          <w:szCs w:val="24"/>
        </w:rPr>
        <w:t>第三条  工期</w:t>
      </w:r>
    </w:p>
    <w:p w14:paraId="60B7E84E">
      <w:pPr>
        <w:pStyle w:val="9"/>
        <w:rPr>
          <w:lang w:eastAsia="zh-CN"/>
        </w:rPr>
      </w:pPr>
      <w:r>
        <w:rPr>
          <w:rFonts w:hint="eastAsia"/>
          <w:lang w:eastAsia="zh-CN"/>
        </w:rPr>
        <w:t>以单孔计工期。工期确定由甲方项目部根据项目技术要求、孔深及钻孔性质，在合理范围内确定单孔施工工期。如遇不可抗力，再行协商。</w:t>
      </w:r>
    </w:p>
    <w:p w14:paraId="7AE643E2">
      <w:pPr>
        <w:spacing w:line="360" w:lineRule="auto"/>
        <w:rPr>
          <w:rFonts w:ascii="黑体" w:hAnsi="黑体" w:eastAsia="黑体" w:cs="黑体"/>
          <w:sz w:val="24"/>
          <w:szCs w:val="24"/>
        </w:rPr>
      </w:pPr>
      <w:r>
        <w:rPr>
          <w:rFonts w:hint="eastAsia" w:ascii="黑体" w:hAnsi="黑体" w:eastAsia="黑体" w:cs="黑体"/>
          <w:sz w:val="24"/>
          <w:szCs w:val="24"/>
        </w:rPr>
        <w:t>第四条  甲方的权利和义务</w:t>
      </w:r>
    </w:p>
    <w:p w14:paraId="4CB5EF80">
      <w:pPr>
        <w:pStyle w:val="9"/>
        <w:rPr>
          <w:lang w:eastAsia="zh-CN"/>
        </w:rPr>
      </w:pPr>
      <w:r>
        <w:rPr>
          <w:rFonts w:hint="eastAsia"/>
          <w:lang w:eastAsia="zh-CN"/>
        </w:rPr>
        <w:t>4.1  负责与地方协调关系，为施工提供外部保障。</w:t>
      </w:r>
    </w:p>
    <w:p w14:paraId="30E4D183">
      <w:pPr>
        <w:pStyle w:val="9"/>
        <w:rPr>
          <w:lang w:eastAsia="zh-CN"/>
        </w:rPr>
      </w:pPr>
      <w:r>
        <w:rPr>
          <w:rFonts w:hint="eastAsia"/>
          <w:lang w:eastAsia="zh-CN"/>
        </w:rPr>
        <w:t>4.2  负责现场地质编录、采样等技术工作。</w:t>
      </w:r>
    </w:p>
    <w:p w14:paraId="568B5453">
      <w:pPr>
        <w:pStyle w:val="9"/>
        <w:rPr>
          <w:lang w:eastAsia="zh-CN"/>
        </w:rPr>
      </w:pPr>
      <w:r>
        <w:rPr>
          <w:rFonts w:hint="eastAsia"/>
          <w:lang w:eastAsia="zh-CN"/>
        </w:rPr>
        <w:t>4.3  根据现场实际情况，向乙方提供必要的技术资料（如有关地质资料等）。</w:t>
      </w:r>
    </w:p>
    <w:p w14:paraId="75A4DBE3">
      <w:pPr>
        <w:pStyle w:val="9"/>
        <w:rPr>
          <w:lang w:eastAsia="zh-CN"/>
        </w:rPr>
      </w:pPr>
      <w:r>
        <w:rPr>
          <w:rFonts w:hint="eastAsia"/>
          <w:lang w:eastAsia="zh-CN"/>
        </w:rPr>
        <w:t>4.4  提供统一的标识、记录表格或其样式。</w:t>
      </w:r>
    </w:p>
    <w:p w14:paraId="2C32B546">
      <w:pPr>
        <w:pStyle w:val="9"/>
        <w:rPr>
          <w:lang w:eastAsia="zh-CN"/>
        </w:rPr>
      </w:pPr>
      <w:r>
        <w:rPr>
          <w:rFonts w:hint="eastAsia"/>
          <w:lang w:eastAsia="zh-CN"/>
        </w:rPr>
        <w:t>4.5  进行必要的钻探技术、质量管理。</w:t>
      </w:r>
    </w:p>
    <w:p w14:paraId="0C1D163E">
      <w:pPr>
        <w:pStyle w:val="9"/>
        <w:rPr>
          <w:lang w:eastAsia="zh-CN"/>
        </w:rPr>
      </w:pPr>
      <w:r>
        <w:rPr>
          <w:rFonts w:hint="eastAsia"/>
          <w:lang w:eastAsia="zh-CN"/>
        </w:rPr>
        <w:t>4.6  在全部钻探施工过程中按照约定的技术、质量标准监督乙方的有关行为，有权纠正和惩罚乙方违犯技术、质量约定的行为。</w:t>
      </w:r>
    </w:p>
    <w:p w14:paraId="1AAA1F93">
      <w:pPr>
        <w:pStyle w:val="9"/>
        <w:rPr>
          <w:lang w:eastAsia="zh-CN"/>
        </w:rPr>
      </w:pPr>
      <w:r>
        <w:rPr>
          <w:rFonts w:hint="eastAsia"/>
          <w:lang w:eastAsia="zh-CN"/>
        </w:rPr>
        <w:t>4.7  对乙方延误工期的行为进行处罚。总工期每延期一天处罚金500元。</w:t>
      </w:r>
    </w:p>
    <w:p w14:paraId="536434C4">
      <w:pPr>
        <w:pStyle w:val="9"/>
        <w:rPr>
          <w:lang w:eastAsia="zh-CN"/>
        </w:rPr>
      </w:pPr>
      <w:r>
        <w:rPr>
          <w:rFonts w:hint="eastAsia"/>
          <w:lang w:eastAsia="zh-CN"/>
        </w:rPr>
        <w:t>4.8  如乙方不能开具工程费用的发票时，甲方代扣代缴税款。</w:t>
      </w:r>
    </w:p>
    <w:p w14:paraId="1556F01E">
      <w:pPr>
        <w:spacing w:line="360" w:lineRule="auto"/>
        <w:rPr>
          <w:rFonts w:ascii="黑体" w:hAnsi="黑体" w:eastAsia="黑体" w:cs="黑体"/>
          <w:sz w:val="24"/>
          <w:szCs w:val="24"/>
        </w:rPr>
      </w:pPr>
      <w:r>
        <w:rPr>
          <w:rFonts w:hint="eastAsia" w:ascii="黑体" w:hAnsi="黑体" w:eastAsia="黑体" w:cs="黑体"/>
          <w:sz w:val="24"/>
          <w:szCs w:val="24"/>
        </w:rPr>
        <w:t>第五条  乙方的权利和义务</w:t>
      </w:r>
    </w:p>
    <w:p w14:paraId="61E45450">
      <w:pPr>
        <w:pStyle w:val="9"/>
        <w:rPr>
          <w:bCs/>
          <w:lang w:eastAsia="zh-CN"/>
        </w:rPr>
      </w:pPr>
      <w:r>
        <w:rPr>
          <w:rFonts w:hint="eastAsia"/>
          <w:bCs/>
          <w:lang w:eastAsia="zh-CN"/>
        </w:rPr>
        <w:t>5.1  乙方必须具有地质勘查钻探施工资格。</w:t>
      </w:r>
    </w:p>
    <w:p w14:paraId="5A1933CC">
      <w:pPr>
        <w:pStyle w:val="9"/>
        <w:rPr>
          <w:bCs/>
          <w:lang w:eastAsia="zh-CN"/>
        </w:rPr>
      </w:pPr>
      <w:r>
        <w:rPr>
          <w:rFonts w:hint="eastAsia"/>
          <w:bCs/>
          <w:lang w:eastAsia="zh-CN"/>
        </w:rPr>
        <w:t>5.2  不得转包施工任务，否则承担由此引起的一切后果，包括被甲方不予结算、报废以往工作量、罚款、清退出场等。</w:t>
      </w:r>
    </w:p>
    <w:p w14:paraId="54063BF7">
      <w:pPr>
        <w:pStyle w:val="9"/>
        <w:rPr>
          <w:lang w:eastAsia="zh-CN"/>
        </w:rPr>
      </w:pPr>
      <w:r>
        <w:rPr>
          <w:rFonts w:hint="eastAsia"/>
          <w:bCs/>
          <w:lang w:eastAsia="zh-CN"/>
        </w:rPr>
        <w:t>5.3  按照</w:t>
      </w:r>
      <w:r>
        <w:rPr>
          <w:rFonts w:hint="eastAsia"/>
          <w:lang w:eastAsia="zh-CN"/>
        </w:rPr>
        <w:t>约定的技术、质量标准承担钻探施工的技术、质量责任。</w:t>
      </w:r>
    </w:p>
    <w:p w14:paraId="43DE5458">
      <w:pPr>
        <w:pStyle w:val="9"/>
        <w:rPr>
          <w:lang w:eastAsia="zh-CN"/>
        </w:rPr>
      </w:pPr>
      <w:r>
        <w:rPr>
          <w:rFonts w:hint="eastAsia"/>
          <w:lang w:eastAsia="zh-CN"/>
        </w:rPr>
        <w:t>5.3.1  提供完整、准确的施工技术原始资料。</w:t>
      </w:r>
    </w:p>
    <w:p w14:paraId="04366170">
      <w:pPr>
        <w:pStyle w:val="9"/>
        <w:rPr>
          <w:lang w:eastAsia="zh-CN"/>
        </w:rPr>
      </w:pPr>
      <w:r>
        <w:rPr>
          <w:rFonts w:hint="eastAsia"/>
          <w:lang w:eastAsia="zh-CN"/>
        </w:rPr>
        <w:t>5.3.2  按照甲方的要求进行标识、记录。</w:t>
      </w:r>
    </w:p>
    <w:p w14:paraId="18A0D126">
      <w:pPr>
        <w:pStyle w:val="9"/>
        <w:rPr>
          <w:bCs/>
          <w:lang w:eastAsia="zh-CN"/>
        </w:rPr>
      </w:pPr>
      <w:r>
        <w:rPr>
          <w:rFonts w:hint="eastAsia"/>
          <w:lang w:eastAsia="zh-CN"/>
        </w:rPr>
        <w:t>5.3.3  及时与甲方有关技术人员进行技术协商，明确技术要求。</w:t>
      </w:r>
    </w:p>
    <w:p w14:paraId="3CE7C919">
      <w:pPr>
        <w:pStyle w:val="9"/>
        <w:rPr>
          <w:lang w:eastAsia="zh-CN"/>
        </w:rPr>
      </w:pPr>
      <w:r>
        <w:rPr>
          <w:rFonts w:hint="eastAsia"/>
          <w:lang w:eastAsia="zh-CN"/>
        </w:rPr>
        <w:t>5.4  自行承担在全部施工过程中所有安全事故的责任（包括人身责任事故和机械事故责任）。</w:t>
      </w:r>
    </w:p>
    <w:p w14:paraId="1D1B988A">
      <w:pPr>
        <w:pStyle w:val="9"/>
        <w:rPr>
          <w:lang w:eastAsia="zh-CN"/>
        </w:rPr>
      </w:pPr>
      <w:r>
        <w:rPr>
          <w:rFonts w:hint="eastAsia"/>
          <w:lang w:eastAsia="zh-CN"/>
        </w:rPr>
        <w:t>5.4.1  必须按国家有关规定做好安全教育和安全生产管理工作。</w:t>
      </w:r>
    </w:p>
    <w:p w14:paraId="10F112AB">
      <w:pPr>
        <w:pStyle w:val="9"/>
        <w:rPr>
          <w:lang w:eastAsia="zh-CN"/>
        </w:rPr>
      </w:pPr>
      <w:r>
        <w:rPr>
          <w:rFonts w:hint="eastAsia"/>
          <w:lang w:eastAsia="zh-CN"/>
        </w:rPr>
        <w:t>5.4.2  严格按照有关钻探施工的安全生产规程、规范施工，确保安全生产，杜绝安全事故的发生。</w:t>
      </w:r>
    </w:p>
    <w:p w14:paraId="07DEA2F5">
      <w:pPr>
        <w:pStyle w:val="9"/>
        <w:rPr>
          <w:bCs/>
          <w:lang w:eastAsia="zh-CN"/>
        </w:rPr>
      </w:pPr>
      <w:r>
        <w:rPr>
          <w:rFonts w:hint="eastAsia"/>
          <w:lang w:eastAsia="zh-CN"/>
        </w:rPr>
        <w:t xml:space="preserve">5.4.3  </w:t>
      </w:r>
      <w:r>
        <w:rPr>
          <w:rFonts w:hint="eastAsia"/>
          <w:bCs/>
          <w:lang w:eastAsia="zh-CN"/>
        </w:rPr>
        <w:t>按照有关规定办理各种</w:t>
      </w:r>
      <w:r>
        <w:rPr>
          <w:rFonts w:hint="eastAsia"/>
          <w:lang w:eastAsia="zh-CN"/>
        </w:rPr>
        <w:t>安全生产手续，包括草原、森林防火等，否则自行承担全部责任和经济损失。</w:t>
      </w:r>
    </w:p>
    <w:p w14:paraId="3AF32ECB">
      <w:pPr>
        <w:pStyle w:val="9"/>
        <w:rPr>
          <w:lang w:eastAsia="zh-CN"/>
        </w:rPr>
      </w:pPr>
      <w:r>
        <w:rPr>
          <w:rFonts w:hint="eastAsia"/>
          <w:lang w:eastAsia="zh-CN"/>
        </w:rPr>
        <w:t xml:space="preserve">5.4.4  </w:t>
      </w:r>
      <w:r>
        <w:rPr>
          <w:rFonts w:hint="eastAsia"/>
          <w:bCs/>
          <w:lang w:eastAsia="zh-CN"/>
        </w:rPr>
        <w:t>自行解决</w:t>
      </w:r>
      <w:r>
        <w:rPr>
          <w:rFonts w:hint="eastAsia"/>
          <w:lang w:eastAsia="zh-CN"/>
        </w:rPr>
        <w:t>所属人员的食宿行问题，负责所属人员的卫生保健、治安管理工作，负责施工所需水、电、机械设备、车辆及其安全。</w:t>
      </w:r>
    </w:p>
    <w:p w14:paraId="360454D8">
      <w:pPr>
        <w:pStyle w:val="9"/>
        <w:rPr>
          <w:bCs/>
          <w:lang w:eastAsia="zh-CN"/>
        </w:rPr>
      </w:pPr>
      <w:r>
        <w:rPr>
          <w:rFonts w:hint="eastAsia"/>
          <w:lang w:eastAsia="zh-CN"/>
        </w:rPr>
        <w:t xml:space="preserve">5.4.5  </w:t>
      </w:r>
      <w:r>
        <w:rPr>
          <w:rFonts w:hint="eastAsia"/>
          <w:bCs/>
          <w:lang w:eastAsia="zh-CN"/>
        </w:rPr>
        <w:t>拒绝甲方任何人员的不安全指令、要求。</w:t>
      </w:r>
    </w:p>
    <w:p w14:paraId="3E4509F9">
      <w:pPr>
        <w:pStyle w:val="9"/>
        <w:rPr>
          <w:bCs/>
          <w:lang w:eastAsia="zh-CN"/>
        </w:rPr>
      </w:pPr>
      <w:r>
        <w:rPr>
          <w:rFonts w:hint="eastAsia"/>
          <w:bCs/>
          <w:lang w:eastAsia="zh-CN"/>
        </w:rPr>
        <w:t xml:space="preserve">5.5  </w:t>
      </w:r>
      <w:r>
        <w:rPr>
          <w:rFonts w:hint="eastAsia"/>
          <w:lang w:eastAsia="zh-CN"/>
        </w:rPr>
        <w:t>接受甲方的技术监督、检查。</w:t>
      </w:r>
    </w:p>
    <w:p w14:paraId="60754002">
      <w:pPr>
        <w:pStyle w:val="9"/>
        <w:rPr>
          <w:bCs/>
          <w:lang w:eastAsia="zh-CN"/>
        </w:rPr>
      </w:pPr>
      <w:r>
        <w:rPr>
          <w:rFonts w:hint="eastAsia"/>
          <w:bCs/>
          <w:lang w:eastAsia="zh-CN"/>
        </w:rPr>
        <w:t>5.6  保证甲方</w:t>
      </w:r>
      <w:r>
        <w:rPr>
          <w:rFonts w:hint="eastAsia"/>
          <w:lang w:eastAsia="zh-CN"/>
        </w:rPr>
        <w:t>确定单孔施工工期</w:t>
      </w:r>
      <w:r>
        <w:rPr>
          <w:rFonts w:hint="eastAsia"/>
          <w:bCs/>
          <w:lang w:eastAsia="zh-CN"/>
        </w:rPr>
        <w:t>。</w:t>
      </w:r>
    </w:p>
    <w:p w14:paraId="4A25C4BB">
      <w:pPr>
        <w:pStyle w:val="9"/>
        <w:rPr>
          <w:lang w:eastAsia="zh-CN"/>
        </w:rPr>
      </w:pPr>
      <w:r>
        <w:rPr>
          <w:rFonts w:hint="eastAsia"/>
          <w:lang w:eastAsia="zh-CN"/>
        </w:rPr>
        <w:t>5.7  乙方有权拒绝甲方任何人员的不合理要求，并及时向甲方负责人通报。</w:t>
      </w:r>
    </w:p>
    <w:p w14:paraId="63FB4A98">
      <w:pPr>
        <w:pStyle w:val="9"/>
        <w:rPr>
          <w:lang w:eastAsia="zh-CN"/>
        </w:rPr>
      </w:pPr>
      <w:r>
        <w:rPr>
          <w:rFonts w:hint="eastAsia"/>
          <w:lang w:eastAsia="zh-CN"/>
        </w:rPr>
        <w:t>5.8  有权及时要求甲方按约定结算工程款。</w:t>
      </w:r>
    </w:p>
    <w:p w14:paraId="74A09854">
      <w:pPr>
        <w:spacing w:line="360" w:lineRule="auto"/>
        <w:rPr>
          <w:rFonts w:ascii="黑体" w:hAnsi="黑体" w:eastAsia="黑体" w:cs="黑体"/>
          <w:sz w:val="24"/>
          <w:szCs w:val="24"/>
        </w:rPr>
      </w:pPr>
      <w:r>
        <w:rPr>
          <w:rFonts w:hint="eastAsia" w:ascii="黑体" w:hAnsi="黑体" w:eastAsia="黑体" w:cs="黑体"/>
          <w:sz w:val="24"/>
          <w:szCs w:val="24"/>
        </w:rPr>
        <w:t>第六条  施工程序</w:t>
      </w:r>
    </w:p>
    <w:p w14:paraId="7EA9E9E6">
      <w:pPr>
        <w:pStyle w:val="9"/>
        <w:rPr>
          <w:lang w:eastAsia="zh-CN"/>
        </w:rPr>
      </w:pPr>
      <w:r>
        <w:rPr>
          <w:rFonts w:hint="eastAsia"/>
          <w:lang w:eastAsia="zh-CN"/>
        </w:rPr>
        <w:t>6.1  《钻探施工合同》签订后，乙方应按照工期要求，开始进场并进行施工前的准备工作，准备就绪后及时通知甲方项目部负责人。</w:t>
      </w:r>
    </w:p>
    <w:p w14:paraId="17DED190">
      <w:pPr>
        <w:pStyle w:val="9"/>
        <w:rPr>
          <w:lang w:eastAsia="zh-CN"/>
        </w:rPr>
      </w:pPr>
      <w:r>
        <w:rPr>
          <w:rFonts w:hint="eastAsia"/>
          <w:lang w:eastAsia="zh-CN"/>
        </w:rPr>
        <w:t>6.2  乙方施工前的准备工作就绪后，甲方应根据设计，向乙方下达《钻孔安装通知书》。乙方根据《钻孔安装通知书》安装钻探设备。设备安装就绪后应及时通知甲方。</w:t>
      </w:r>
    </w:p>
    <w:p w14:paraId="27C26438">
      <w:pPr>
        <w:pStyle w:val="9"/>
        <w:rPr>
          <w:lang w:eastAsia="zh-CN"/>
        </w:rPr>
      </w:pPr>
      <w:r>
        <w:rPr>
          <w:rFonts w:hint="eastAsia"/>
          <w:lang w:eastAsia="zh-CN"/>
        </w:rPr>
        <w:t>6.3  乙方设备安装就绪后，甲方及时进行孔位、立轴垂直度核实、校正及其必要的检查（包括安全生产检查），满足施工条件时向乙方下达《钻孔施工通知书》。乙方在接到《钻孔施工通知书》后方可开始施工（开钻）。</w:t>
      </w:r>
    </w:p>
    <w:p w14:paraId="52BB400C">
      <w:pPr>
        <w:pStyle w:val="9"/>
        <w:rPr>
          <w:lang w:eastAsia="zh-CN"/>
        </w:rPr>
      </w:pPr>
      <w:r>
        <w:rPr>
          <w:rFonts w:hint="eastAsia"/>
          <w:lang w:eastAsia="zh-CN"/>
        </w:rPr>
        <w:t>6.4  钻进中双方应密切配合，以达到地质目的为最终目的。</w:t>
      </w:r>
    </w:p>
    <w:p w14:paraId="61C469C7">
      <w:pPr>
        <w:pStyle w:val="9"/>
        <w:rPr>
          <w:lang w:eastAsia="zh-CN"/>
        </w:rPr>
      </w:pPr>
      <w:r>
        <w:rPr>
          <w:rFonts w:hint="eastAsia"/>
          <w:lang w:eastAsia="zh-CN"/>
        </w:rPr>
        <w:t>6.5  终止钻进或者加深钻孔。</w:t>
      </w:r>
    </w:p>
    <w:p w14:paraId="575B11FA">
      <w:pPr>
        <w:pStyle w:val="9"/>
        <w:rPr>
          <w:lang w:eastAsia="zh-CN"/>
        </w:rPr>
      </w:pPr>
      <w:r>
        <w:rPr>
          <w:rFonts w:hint="eastAsia"/>
          <w:lang w:eastAsia="zh-CN"/>
        </w:rPr>
        <w:t>6.5.1  钻孔施工达到设计深度且达到地质目的时，甲方向乙方下达《钻孔终孔通知书》，接到《钻孔终孔通知书》后停止施工并做测井（如有）前的准备工作。</w:t>
      </w:r>
    </w:p>
    <w:p w14:paraId="3AE930A5">
      <w:pPr>
        <w:pStyle w:val="9"/>
        <w:rPr>
          <w:lang w:eastAsia="zh-CN"/>
        </w:rPr>
      </w:pPr>
      <w:r>
        <w:rPr>
          <w:rFonts w:hint="eastAsia"/>
          <w:lang w:eastAsia="zh-CN"/>
        </w:rPr>
        <w:t>6.5.2  钻孔施工未达到设计孔深而达到地质目的时，甲方向乙方下达《任务变更通知书》和《钻孔终孔通知书》，接到《钻孔终孔通知书》后停止施工并做测井前的准备工作。</w:t>
      </w:r>
    </w:p>
    <w:p w14:paraId="6E617714">
      <w:pPr>
        <w:pStyle w:val="9"/>
        <w:rPr>
          <w:lang w:eastAsia="zh-CN"/>
        </w:rPr>
      </w:pPr>
      <w:r>
        <w:rPr>
          <w:rFonts w:hint="eastAsia"/>
          <w:lang w:eastAsia="zh-CN"/>
        </w:rPr>
        <w:t>6.5.3  钻孔施工达到设计深度而未达地质目的时，甲方向乙方下达《任务变更通知书》，按《任务变更通知书》的要求应继续施工。</w:t>
      </w:r>
    </w:p>
    <w:p w14:paraId="0D550223">
      <w:pPr>
        <w:pStyle w:val="9"/>
        <w:rPr>
          <w:lang w:eastAsia="zh-CN"/>
        </w:rPr>
      </w:pPr>
      <w:r>
        <w:rPr>
          <w:rFonts w:hint="eastAsia"/>
          <w:lang w:eastAsia="zh-CN"/>
        </w:rPr>
        <w:t>6.6  钻孔终孔前应进行现场初步验收。初步验收不合格时，甲方向乙方下达《钻孔质量通知书》或《钻孔补斜通知书》，乙方根据存在的问题采取相应的补救措施；初步验收合格时，甲方向乙方下达《钻孔封孔通知书》。现场初步验收合格后2日内，向甲方提交该孔钻探施工的原始资料（班报表等）。</w:t>
      </w:r>
    </w:p>
    <w:p w14:paraId="1763FEA7">
      <w:pPr>
        <w:pStyle w:val="9"/>
        <w:rPr>
          <w:lang w:eastAsia="zh-CN"/>
        </w:rPr>
      </w:pPr>
      <w:r>
        <w:rPr>
          <w:rFonts w:hint="eastAsia"/>
          <w:lang w:eastAsia="zh-CN"/>
        </w:rPr>
        <w:t>6.7  乙方应按《钻孔封孔通知书》，在甲方相关人员到位的情况下进行封孔并埋设水泥标识；甲方进行验收。</w:t>
      </w:r>
    </w:p>
    <w:p w14:paraId="3E26FCF7">
      <w:pPr>
        <w:pStyle w:val="9"/>
        <w:rPr>
          <w:lang w:eastAsia="zh-CN"/>
        </w:rPr>
      </w:pPr>
      <w:r>
        <w:rPr>
          <w:rFonts w:hint="eastAsia"/>
          <w:lang w:eastAsia="zh-CN"/>
        </w:rPr>
        <w:t>6.8  封孔验收合格后，乙方可拆卸钻塔，进行现场清理，回填泥浆坑掩埋废弃物，平整场地（如有恢复植被等要求的，应予恢复），然后方可撤场。</w:t>
      </w:r>
    </w:p>
    <w:p w14:paraId="4EE9465C">
      <w:pPr>
        <w:spacing w:line="360" w:lineRule="auto"/>
        <w:rPr>
          <w:rFonts w:ascii="黑体" w:hAnsi="黑体" w:eastAsia="黑体" w:cs="黑体"/>
          <w:sz w:val="24"/>
          <w:szCs w:val="24"/>
        </w:rPr>
      </w:pPr>
      <w:r>
        <w:rPr>
          <w:rFonts w:hint="eastAsia" w:ascii="黑体" w:hAnsi="黑体" w:eastAsia="黑体" w:cs="黑体"/>
          <w:sz w:val="24"/>
          <w:szCs w:val="24"/>
        </w:rPr>
        <w:t>第七条  技术标准及质量要求</w:t>
      </w:r>
    </w:p>
    <w:p w14:paraId="66C92EAE">
      <w:pPr>
        <w:spacing w:line="360" w:lineRule="auto"/>
        <w:rPr>
          <w:rFonts w:ascii="黑体" w:hAnsi="黑体" w:eastAsia="黑体" w:cs="黑体"/>
          <w:sz w:val="24"/>
          <w:szCs w:val="24"/>
        </w:rPr>
      </w:pPr>
      <w:r>
        <w:rPr>
          <w:rFonts w:hint="eastAsia" w:ascii="黑体" w:hAnsi="黑体" w:eastAsia="黑体" w:cs="黑体"/>
          <w:sz w:val="24"/>
          <w:szCs w:val="24"/>
        </w:rPr>
        <w:t>7.1  岩矿心采取率与岩矿心整理</w:t>
      </w:r>
    </w:p>
    <w:p w14:paraId="54F24058">
      <w:pPr>
        <w:pStyle w:val="9"/>
        <w:rPr>
          <w:lang w:eastAsia="zh-CN"/>
        </w:rPr>
      </w:pPr>
      <w:r>
        <w:rPr>
          <w:rFonts w:hint="eastAsia"/>
          <w:lang w:eastAsia="zh-CN"/>
        </w:rPr>
        <w:t>7.1.1  要求取心的岩层，全孔平均采取率不低于80%。凡由孔内原因（掉块、孔内残留、缩径等）造成岩矿心采取率不能满足设计要求的钻孔，为报废孔或报废孔段。</w:t>
      </w:r>
    </w:p>
    <w:p w14:paraId="5C024E14">
      <w:pPr>
        <w:pStyle w:val="9"/>
        <w:rPr>
          <w:lang w:eastAsia="zh-CN"/>
        </w:rPr>
      </w:pPr>
      <w:r>
        <w:rPr>
          <w:rFonts w:hint="eastAsia"/>
          <w:lang w:eastAsia="zh-CN"/>
        </w:rPr>
        <w:t>7.1.2  矿化带、重要标志层以及矿层与顶板交界处以上和矿层与底板交界处以下各5m范围内的岩层，平均采取率不得低于80%。</w:t>
      </w:r>
    </w:p>
    <w:p w14:paraId="6CE97183">
      <w:pPr>
        <w:pStyle w:val="9"/>
        <w:rPr>
          <w:lang w:eastAsia="zh-CN"/>
        </w:rPr>
      </w:pPr>
      <w:r>
        <w:rPr>
          <w:rFonts w:hint="eastAsia"/>
          <w:lang w:eastAsia="zh-CN"/>
        </w:rPr>
        <w:t>7.1.3  某些情况下，岩层、矿层的平均采取率需要高于或低于上述规定以及某些孔段的岩层需要分层计算采取率时，按需要和可能的原则，可在设计中提出具体指标。</w:t>
      </w:r>
    </w:p>
    <w:p w14:paraId="587CCF73">
      <w:pPr>
        <w:pStyle w:val="9"/>
        <w:rPr>
          <w:lang w:eastAsia="zh-CN"/>
        </w:rPr>
      </w:pPr>
      <w:r>
        <w:rPr>
          <w:rFonts w:hint="eastAsia"/>
          <w:lang w:eastAsia="zh-CN"/>
        </w:rPr>
        <w:t>7.1.4  岩（矿）心采取率按下列公示计算：</w:t>
      </w:r>
    </w:p>
    <w:p w14:paraId="0FDC4E47">
      <w:pPr>
        <w:pStyle w:val="9"/>
        <w:rPr>
          <w:lang w:eastAsia="zh-CN"/>
        </w:rPr>
      </w:pPr>
      <w:r>
        <w:rPr>
          <w:rFonts w:hint="eastAsia"/>
          <w:lang w:eastAsia="zh-CN"/>
        </w:rPr>
        <w:t>岩（矿）心采取率=（各回次岩（矿）心长度的累计数/各回次取岩（矿）心进尺长度的累计数）×100%</w:t>
      </w:r>
    </w:p>
    <w:p w14:paraId="71A5500D">
      <w:pPr>
        <w:pStyle w:val="9"/>
        <w:rPr>
          <w:lang w:eastAsia="zh-CN"/>
        </w:rPr>
      </w:pPr>
      <w:r>
        <w:rPr>
          <w:rFonts w:hint="eastAsia"/>
          <w:lang w:eastAsia="zh-CN"/>
        </w:rPr>
        <w:t>7.1.5  由机台负责将岩心清洗干净，自上而下按次序装箱，在岩心上用用红油漆或油浸笔写明回次数、总块数和块号（松软、破碎粉状及易溶的岩矿心应装入布袋或塑料袋中），用铅笔填写岩心牌，放好岩心隔板，并妥善保管。</w:t>
      </w:r>
    </w:p>
    <w:p w14:paraId="51CFA616">
      <w:pPr>
        <w:spacing w:line="360" w:lineRule="auto"/>
        <w:rPr>
          <w:rFonts w:ascii="黑体" w:hAnsi="黑体" w:eastAsia="黑体" w:cs="黑体"/>
          <w:sz w:val="24"/>
          <w:szCs w:val="24"/>
        </w:rPr>
      </w:pPr>
      <w:r>
        <w:rPr>
          <w:rFonts w:hint="eastAsia" w:ascii="黑体" w:hAnsi="黑体" w:eastAsia="黑体" w:cs="黑体"/>
          <w:sz w:val="24"/>
          <w:szCs w:val="24"/>
        </w:rPr>
        <w:t>7.2  钻孔弯曲度与测量间距</w:t>
      </w:r>
    </w:p>
    <w:p w14:paraId="5F153634">
      <w:pPr>
        <w:pStyle w:val="9"/>
        <w:rPr>
          <w:lang w:eastAsia="zh-CN"/>
        </w:rPr>
      </w:pPr>
      <w:r>
        <w:rPr>
          <w:rFonts w:hint="eastAsia"/>
          <w:lang w:eastAsia="zh-CN"/>
        </w:rPr>
        <w:t>7.2.1  钻孔施工过程中每钻进100m和见矿层底板均应进行一次孔斜测量（包括天顶角和方位角），开孔后50m处加测一次钻孔天顶角和方位角。直孔允许顶角差2°/100m，斜孔允许顶角差3°/100m。</w:t>
      </w:r>
    </w:p>
    <w:p w14:paraId="71CFB504">
      <w:pPr>
        <w:pStyle w:val="9"/>
        <w:rPr>
          <w:lang w:eastAsia="zh-CN"/>
        </w:rPr>
      </w:pPr>
      <w:r>
        <w:rPr>
          <w:rFonts w:hint="eastAsia"/>
          <w:lang w:eastAsia="zh-CN"/>
        </w:rPr>
        <w:t>7.2.2  一般钻孔不同孔深的各测点实测顶角与开孔设计顶角之差不得超过下表范围：</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116"/>
        <w:gridCol w:w="1075"/>
        <w:gridCol w:w="1076"/>
        <w:gridCol w:w="1076"/>
        <w:gridCol w:w="1076"/>
        <w:gridCol w:w="1076"/>
        <w:gridCol w:w="854"/>
      </w:tblGrid>
      <w:tr w14:paraId="04A1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center"/>
          </w:tcPr>
          <w:p w14:paraId="3E00FAED">
            <w:pPr>
              <w:pStyle w:val="9"/>
              <w:ind w:firstLine="0" w:firstLineChars="0"/>
              <w:rPr>
                <w:sz w:val="18"/>
                <w:szCs w:val="18"/>
              </w:rPr>
            </w:pPr>
            <w:r>
              <w:rPr>
                <w:rFonts w:hint="eastAsia"/>
                <w:sz w:val="18"/>
                <w:szCs w:val="18"/>
              </w:rPr>
              <w:t>测定孔深</w:t>
            </w:r>
          </w:p>
        </w:tc>
        <w:tc>
          <w:tcPr>
            <w:tcW w:w="1116" w:type="dxa"/>
            <w:vAlign w:val="center"/>
          </w:tcPr>
          <w:p w14:paraId="1F4BBF3B">
            <w:pPr>
              <w:pStyle w:val="9"/>
              <w:ind w:firstLine="360"/>
              <w:rPr>
                <w:sz w:val="18"/>
                <w:szCs w:val="18"/>
              </w:rPr>
            </w:pPr>
            <w:r>
              <w:rPr>
                <w:rFonts w:hint="eastAsia"/>
                <w:sz w:val="18"/>
                <w:szCs w:val="18"/>
              </w:rPr>
              <w:t>（米）</w:t>
            </w:r>
          </w:p>
        </w:tc>
        <w:tc>
          <w:tcPr>
            <w:tcW w:w="1075" w:type="dxa"/>
            <w:vAlign w:val="center"/>
          </w:tcPr>
          <w:p w14:paraId="5F7C7864">
            <w:pPr>
              <w:pStyle w:val="9"/>
              <w:ind w:firstLine="360"/>
              <w:rPr>
                <w:sz w:val="18"/>
                <w:szCs w:val="18"/>
              </w:rPr>
            </w:pPr>
            <w:r>
              <w:rPr>
                <w:rFonts w:hint="eastAsia"/>
                <w:sz w:val="18"/>
                <w:szCs w:val="18"/>
              </w:rPr>
              <w:t>100</w:t>
            </w:r>
          </w:p>
        </w:tc>
        <w:tc>
          <w:tcPr>
            <w:tcW w:w="1076" w:type="dxa"/>
            <w:vAlign w:val="center"/>
          </w:tcPr>
          <w:p w14:paraId="638EF7D6">
            <w:pPr>
              <w:pStyle w:val="9"/>
              <w:ind w:firstLine="360"/>
              <w:rPr>
                <w:sz w:val="18"/>
                <w:szCs w:val="18"/>
              </w:rPr>
            </w:pPr>
            <w:r>
              <w:rPr>
                <w:rFonts w:hint="eastAsia"/>
                <w:sz w:val="18"/>
                <w:szCs w:val="18"/>
              </w:rPr>
              <w:t>200</w:t>
            </w:r>
          </w:p>
        </w:tc>
        <w:tc>
          <w:tcPr>
            <w:tcW w:w="1076" w:type="dxa"/>
            <w:vAlign w:val="center"/>
          </w:tcPr>
          <w:p w14:paraId="1239B5B0">
            <w:pPr>
              <w:pStyle w:val="9"/>
              <w:ind w:firstLine="360"/>
              <w:rPr>
                <w:sz w:val="18"/>
                <w:szCs w:val="18"/>
              </w:rPr>
            </w:pPr>
            <w:r>
              <w:rPr>
                <w:rFonts w:hint="eastAsia"/>
                <w:sz w:val="18"/>
                <w:szCs w:val="18"/>
              </w:rPr>
              <w:t>300</w:t>
            </w:r>
          </w:p>
        </w:tc>
        <w:tc>
          <w:tcPr>
            <w:tcW w:w="1076" w:type="dxa"/>
            <w:vAlign w:val="center"/>
          </w:tcPr>
          <w:p w14:paraId="2A4B94DD">
            <w:pPr>
              <w:pStyle w:val="9"/>
              <w:ind w:firstLine="360"/>
              <w:rPr>
                <w:sz w:val="18"/>
                <w:szCs w:val="18"/>
              </w:rPr>
            </w:pPr>
            <w:r>
              <w:rPr>
                <w:rFonts w:hint="eastAsia"/>
                <w:sz w:val="18"/>
                <w:szCs w:val="18"/>
              </w:rPr>
              <w:t>400</w:t>
            </w:r>
          </w:p>
        </w:tc>
        <w:tc>
          <w:tcPr>
            <w:tcW w:w="1076" w:type="dxa"/>
            <w:vAlign w:val="center"/>
          </w:tcPr>
          <w:p w14:paraId="749917BB">
            <w:pPr>
              <w:pStyle w:val="9"/>
              <w:ind w:firstLine="360"/>
              <w:rPr>
                <w:sz w:val="18"/>
                <w:szCs w:val="18"/>
              </w:rPr>
            </w:pPr>
            <w:r>
              <w:rPr>
                <w:rFonts w:hint="eastAsia"/>
                <w:sz w:val="18"/>
                <w:szCs w:val="18"/>
              </w:rPr>
              <w:t>500</w:t>
            </w:r>
          </w:p>
        </w:tc>
        <w:tc>
          <w:tcPr>
            <w:tcW w:w="854" w:type="dxa"/>
            <w:vAlign w:val="center"/>
          </w:tcPr>
          <w:p w14:paraId="594D1C0A">
            <w:pPr>
              <w:pStyle w:val="9"/>
              <w:ind w:firstLine="360"/>
              <w:rPr>
                <w:sz w:val="18"/>
                <w:szCs w:val="18"/>
              </w:rPr>
            </w:pPr>
            <w:r>
              <w:rPr>
                <w:rFonts w:hint="eastAsia"/>
                <w:sz w:val="18"/>
                <w:szCs w:val="18"/>
              </w:rPr>
              <w:t>600</w:t>
            </w:r>
          </w:p>
        </w:tc>
      </w:tr>
      <w:tr w14:paraId="5C46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Merge w:val="restart"/>
            <w:vAlign w:val="center"/>
          </w:tcPr>
          <w:p w14:paraId="541AB059">
            <w:pPr>
              <w:pStyle w:val="9"/>
              <w:ind w:firstLine="0" w:firstLineChars="0"/>
              <w:rPr>
                <w:sz w:val="18"/>
                <w:szCs w:val="18"/>
              </w:rPr>
            </w:pPr>
            <w:r>
              <w:rPr>
                <w:rFonts w:hint="eastAsia"/>
                <w:sz w:val="18"/>
                <w:szCs w:val="18"/>
              </w:rPr>
              <w:t>允许顶角差（度）</w:t>
            </w:r>
          </w:p>
        </w:tc>
        <w:tc>
          <w:tcPr>
            <w:tcW w:w="1116" w:type="dxa"/>
            <w:vAlign w:val="center"/>
          </w:tcPr>
          <w:p w14:paraId="767D2BAA">
            <w:pPr>
              <w:pStyle w:val="9"/>
              <w:ind w:firstLine="360"/>
              <w:rPr>
                <w:sz w:val="18"/>
                <w:szCs w:val="18"/>
              </w:rPr>
            </w:pPr>
            <w:r>
              <w:rPr>
                <w:rFonts w:hint="eastAsia"/>
                <w:sz w:val="18"/>
                <w:szCs w:val="18"/>
              </w:rPr>
              <w:t>直孔</w:t>
            </w:r>
          </w:p>
        </w:tc>
        <w:tc>
          <w:tcPr>
            <w:tcW w:w="1075" w:type="dxa"/>
            <w:vAlign w:val="center"/>
          </w:tcPr>
          <w:p w14:paraId="3979A52A">
            <w:pPr>
              <w:pStyle w:val="9"/>
              <w:ind w:firstLine="360"/>
              <w:rPr>
                <w:sz w:val="18"/>
                <w:szCs w:val="18"/>
              </w:rPr>
            </w:pPr>
            <w:r>
              <w:rPr>
                <w:rFonts w:hint="eastAsia"/>
                <w:sz w:val="18"/>
                <w:szCs w:val="18"/>
              </w:rPr>
              <w:t>2</w:t>
            </w:r>
          </w:p>
        </w:tc>
        <w:tc>
          <w:tcPr>
            <w:tcW w:w="1076" w:type="dxa"/>
            <w:vAlign w:val="center"/>
          </w:tcPr>
          <w:p w14:paraId="57B954AB">
            <w:pPr>
              <w:pStyle w:val="9"/>
              <w:ind w:firstLine="360"/>
              <w:rPr>
                <w:sz w:val="18"/>
                <w:szCs w:val="18"/>
              </w:rPr>
            </w:pPr>
            <w:r>
              <w:rPr>
                <w:rFonts w:hint="eastAsia"/>
                <w:sz w:val="18"/>
                <w:szCs w:val="18"/>
              </w:rPr>
              <w:t>4</w:t>
            </w:r>
          </w:p>
        </w:tc>
        <w:tc>
          <w:tcPr>
            <w:tcW w:w="1076" w:type="dxa"/>
            <w:vAlign w:val="center"/>
          </w:tcPr>
          <w:p w14:paraId="54F2A53C">
            <w:pPr>
              <w:pStyle w:val="9"/>
              <w:ind w:firstLine="360"/>
              <w:rPr>
                <w:sz w:val="18"/>
                <w:szCs w:val="18"/>
              </w:rPr>
            </w:pPr>
            <w:r>
              <w:rPr>
                <w:rFonts w:hint="eastAsia"/>
                <w:sz w:val="18"/>
                <w:szCs w:val="18"/>
              </w:rPr>
              <w:t>6</w:t>
            </w:r>
          </w:p>
        </w:tc>
        <w:tc>
          <w:tcPr>
            <w:tcW w:w="1076" w:type="dxa"/>
            <w:vAlign w:val="center"/>
          </w:tcPr>
          <w:p w14:paraId="51161299">
            <w:pPr>
              <w:pStyle w:val="9"/>
              <w:ind w:firstLine="360"/>
              <w:rPr>
                <w:sz w:val="18"/>
                <w:szCs w:val="18"/>
              </w:rPr>
            </w:pPr>
            <w:r>
              <w:rPr>
                <w:rFonts w:hint="eastAsia"/>
                <w:sz w:val="18"/>
                <w:szCs w:val="18"/>
              </w:rPr>
              <w:t>8</w:t>
            </w:r>
          </w:p>
        </w:tc>
        <w:tc>
          <w:tcPr>
            <w:tcW w:w="1076" w:type="dxa"/>
            <w:vAlign w:val="center"/>
          </w:tcPr>
          <w:p w14:paraId="6FB7E245">
            <w:pPr>
              <w:pStyle w:val="9"/>
              <w:ind w:firstLine="360"/>
              <w:rPr>
                <w:sz w:val="18"/>
                <w:szCs w:val="18"/>
              </w:rPr>
            </w:pPr>
            <w:r>
              <w:rPr>
                <w:rFonts w:hint="eastAsia"/>
                <w:sz w:val="18"/>
                <w:szCs w:val="18"/>
              </w:rPr>
              <w:t>10</w:t>
            </w:r>
          </w:p>
        </w:tc>
        <w:tc>
          <w:tcPr>
            <w:tcW w:w="854" w:type="dxa"/>
            <w:vAlign w:val="center"/>
          </w:tcPr>
          <w:p w14:paraId="64399C5C">
            <w:pPr>
              <w:pStyle w:val="9"/>
              <w:ind w:firstLine="360"/>
              <w:rPr>
                <w:sz w:val="18"/>
                <w:szCs w:val="18"/>
              </w:rPr>
            </w:pPr>
            <w:r>
              <w:rPr>
                <w:rFonts w:hint="eastAsia"/>
                <w:sz w:val="18"/>
                <w:szCs w:val="18"/>
              </w:rPr>
              <w:t>12</w:t>
            </w:r>
          </w:p>
        </w:tc>
      </w:tr>
      <w:tr w14:paraId="3DFA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Merge w:val="continue"/>
            <w:vAlign w:val="center"/>
          </w:tcPr>
          <w:p w14:paraId="13F3C55E">
            <w:pPr>
              <w:pStyle w:val="9"/>
              <w:ind w:firstLine="360"/>
              <w:rPr>
                <w:sz w:val="18"/>
                <w:szCs w:val="18"/>
              </w:rPr>
            </w:pPr>
          </w:p>
        </w:tc>
        <w:tc>
          <w:tcPr>
            <w:tcW w:w="1116" w:type="dxa"/>
            <w:vAlign w:val="center"/>
          </w:tcPr>
          <w:p w14:paraId="3E2FFD21">
            <w:pPr>
              <w:pStyle w:val="9"/>
              <w:ind w:firstLine="360"/>
              <w:rPr>
                <w:sz w:val="18"/>
                <w:szCs w:val="18"/>
              </w:rPr>
            </w:pPr>
            <w:r>
              <w:rPr>
                <w:rFonts w:hint="eastAsia"/>
                <w:sz w:val="18"/>
                <w:szCs w:val="18"/>
              </w:rPr>
              <w:t>斜孔</w:t>
            </w:r>
          </w:p>
        </w:tc>
        <w:tc>
          <w:tcPr>
            <w:tcW w:w="1075" w:type="dxa"/>
            <w:vAlign w:val="center"/>
          </w:tcPr>
          <w:p w14:paraId="2A65F31A">
            <w:pPr>
              <w:pStyle w:val="9"/>
              <w:ind w:firstLine="360"/>
              <w:rPr>
                <w:sz w:val="18"/>
                <w:szCs w:val="18"/>
              </w:rPr>
            </w:pPr>
            <w:r>
              <w:rPr>
                <w:rFonts w:hint="eastAsia"/>
                <w:sz w:val="18"/>
                <w:szCs w:val="18"/>
              </w:rPr>
              <w:t>3</w:t>
            </w:r>
          </w:p>
        </w:tc>
        <w:tc>
          <w:tcPr>
            <w:tcW w:w="1076" w:type="dxa"/>
            <w:vAlign w:val="center"/>
          </w:tcPr>
          <w:p w14:paraId="52C06EB0">
            <w:pPr>
              <w:pStyle w:val="9"/>
              <w:ind w:firstLine="360"/>
              <w:rPr>
                <w:sz w:val="18"/>
                <w:szCs w:val="18"/>
              </w:rPr>
            </w:pPr>
            <w:r>
              <w:rPr>
                <w:rFonts w:hint="eastAsia"/>
                <w:sz w:val="18"/>
                <w:szCs w:val="18"/>
              </w:rPr>
              <w:t>6</w:t>
            </w:r>
          </w:p>
        </w:tc>
        <w:tc>
          <w:tcPr>
            <w:tcW w:w="1076" w:type="dxa"/>
            <w:vAlign w:val="center"/>
          </w:tcPr>
          <w:p w14:paraId="07D217F4">
            <w:pPr>
              <w:pStyle w:val="9"/>
              <w:ind w:firstLine="360"/>
              <w:rPr>
                <w:sz w:val="18"/>
                <w:szCs w:val="18"/>
              </w:rPr>
            </w:pPr>
            <w:r>
              <w:rPr>
                <w:rFonts w:hint="eastAsia"/>
                <w:sz w:val="18"/>
                <w:szCs w:val="18"/>
              </w:rPr>
              <w:t>9</w:t>
            </w:r>
          </w:p>
        </w:tc>
        <w:tc>
          <w:tcPr>
            <w:tcW w:w="1076" w:type="dxa"/>
            <w:vAlign w:val="center"/>
          </w:tcPr>
          <w:p w14:paraId="58ECE3DC">
            <w:pPr>
              <w:pStyle w:val="9"/>
              <w:ind w:firstLine="360"/>
              <w:rPr>
                <w:sz w:val="18"/>
                <w:szCs w:val="18"/>
              </w:rPr>
            </w:pPr>
            <w:r>
              <w:rPr>
                <w:rFonts w:hint="eastAsia"/>
                <w:sz w:val="18"/>
                <w:szCs w:val="18"/>
              </w:rPr>
              <w:t>12</w:t>
            </w:r>
          </w:p>
        </w:tc>
        <w:tc>
          <w:tcPr>
            <w:tcW w:w="1076" w:type="dxa"/>
            <w:vAlign w:val="center"/>
          </w:tcPr>
          <w:p w14:paraId="17C61469">
            <w:pPr>
              <w:pStyle w:val="9"/>
              <w:ind w:firstLine="360"/>
              <w:rPr>
                <w:sz w:val="18"/>
                <w:szCs w:val="18"/>
              </w:rPr>
            </w:pPr>
            <w:r>
              <w:rPr>
                <w:rFonts w:hint="eastAsia"/>
                <w:sz w:val="18"/>
                <w:szCs w:val="18"/>
              </w:rPr>
              <w:t>15</w:t>
            </w:r>
          </w:p>
        </w:tc>
        <w:tc>
          <w:tcPr>
            <w:tcW w:w="854" w:type="dxa"/>
            <w:vAlign w:val="center"/>
          </w:tcPr>
          <w:p w14:paraId="512EFD13">
            <w:pPr>
              <w:pStyle w:val="9"/>
              <w:ind w:firstLine="360"/>
              <w:rPr>
                <w:sz w:val="18"/>
                <w:szCs w:val="18"/>
              </w:rPr>
            </w:pPr>
            <w:r>
              <w:rPr>
                <w:rFonts w:hint="eastAsia"/>
                <w:sz w:val="18"/>
                <w:szCs w:val="18"/>
              </w:rPr>
              <w:t>18</w:t>
            </w:r>
          </w:p>
        </w:tc>
      </w:tr>
    </w:tbl>
    <w:p w14:paraId="16C8E48A">
      <w:pPr>
        <w:pStyle w:val="9"/>
        <w:ind w:firstLine="360"/>
        <w:rPr>
          <w:sz w:val="18"/>
          <w:szCs w:val="18"/>
          <w:lang w:eastAsia="zh-CN"/>
        </w:rPr>
      </w:pPr>
      <w:r>
        <w:rPr>
          <w:rFonts w:hint="eastAsia"/>
          <w:sz w:val="18"/>
          <w:szCs w:val="18"/>
          <w:lang w:eastAsia="zh-CN"/>
        </w:rPr>
        <w:t>注：孔深大于600米的钻孔，其弯曲度允许顶角差，可根据地质目的要求与钻探施工状况具体商定。</w:t>
      </w:r>
    </w:p>
    <w:p w14:paraId="623665BA">
      <w:pPr>
        <w:pStyle w:val="9"/>
        <w:rPr>
          <w:lang w:eastAsia="zh-CN"/>
        </w:rPr>
      </w:pPr>
      <w:r>
        <w:rPr>
          <w:rFonts w:hint="eastAsia"/>
          <w:lang w:eastAsia="zh-CN"/>
        </w:rPr>
        <w:t>7.2.3  定向钻孔不同孔深各测点的实测顶角与该点设计顶角之差的范围，可根据具体情况由地质与探矿部门共同确定。</w:t>
      </w:r>
    </w:p>
    <w:p w14:paraId="20C1B0C1">
      <w:pPr>
        <w:pStyle w:val="9"/>
        <w:rPr>
          <w:lang w:eastAsia="zh-CN"/>
        </w:rPr>
      </w:pPr>
      <w:r>
        <w:rPr>
          <w:rFonts w:hint="eastAsia"/>
          <w:lang w:eastAsia="zh-CN"/>
        </w:rPr>
        <w:t>7.2.4  某些易斜地层中，虽经采取多种防、纠斜措施，钻孔弯曲度仍达不到上述规定时，可根据需要与可能的原则，由探矿与地质部门协商，另行确定指标或施工定向钻孔。</w:t>
      </w:r>
    </w:p>
    <w:p w14:paraId="79FD9499">
      <w:pPr>
        <w:pStyle w:val="9"/>
        <w:rPr>
          <w:lang w:eastAsia="zh-CN"/>
        </w:rPr>
      </w:pPr>
      <w:r>
        <w:rPr>
          <w:rFonts w:hint="eastAsia"/>
          <w:lang w:eastAsia="zh-CN"/>
        </w:rPr>
        <w:t>7.2.5  关于测量间距。应依据地质设计或实测钻孔顶角小于或等于5°时，每钻进一百米测一次顶角和方位角，大于5°时，每钻进五十米测一次顶角和方位角。定向钻孔和在易斜地层中钻进的钻孔，根据施工需要，应适当缩短测量间距。</w:t>
      </w:r>
    </w:p>
    <w:p w14:paraId="5BD9F6CE">
      <w:pPr>
        <w:spacing w:line="360" w:lineRule="auto"/>
        <w:rPr>
          <w:rFonts w:ascii="黑体" w:hAnsi="黑体" w:eastAsia="黑体" w:cs="黑体"/>
          <w:sz w:val="24"/>
          <w:szCs w:val="24"/>
        </w:rPr>
      </w:pPr>
      <w:r>
        <w:rPr>
          <w:rFonts w:hint="eastAsia" w:ascii="黑体" w:hAnsi="黑体" w:eastAsia="黑体" w:cs="黑体"/>
          <w:sz w:val="24"/>
          <w:szCs w:val="24"/>
        </w:rPr>
        <w:t>7.3  简易水文地质观测</w:t>
      </w:r>
    </w:p>
    <w:p w14:paraId="7BF1491A">
      <w:pPr>
        <w:pStyle w:val="9"/>
        <w:rPr>
          <w:lang w:eastAsia="zh-CN"/>
        </w:rPr>
      </w:pPr>
      <w:r>
        <w:rPr>
          <w:rFonts w:hint="eastAsia"/>
          <w:lang w:eastAsia="zh-CN"/>
        </w:rPr>
        <w:t>7.3.1  每班至少观测水位1-2次，每观测回次中，提钻后、下钻前各测量一次水位，间隔时间应＞5分钟。钻进过程中遇到漏水、涌砂、掉块坍塌、缩径、溶洞及钻具掉落等异常现象时，应及时记录其深度。</w:t>
      </w:r>
    </w:p>
    <w:p w14:paraId="4201B4CF">
      <w:pPr>
        <w:pStyle w:val="9"/>
        <w:rPr>
          <w:lang w:eastAsia="zh-CN"/>
        </w:rPr>
      </w:pPr>
      <w:r>
        <w:rPr>
          <w:rFonts w:hint="eastAsia"/>
          <w:lang w:eastAsia="zh-CN"/>
        </w:rPr>
        <w:t>7.3.2  在以清水为冲洗液的钻孔中，每班至少观测水位1～2回次。每观测回次中，提钻后、下钻前各观测一次水位，间隔时间应大于5分钟。以泥浆为冲洗液的钻孔中，视具体情况决定是否进行水位观测。</w:t>
      </w:r>
    </w:p>
    <w:p w14:paraId="5D56392D">
      <w:pPr>
        <w:pStyle w:val="9"/>
        <w:rPr>
          <w:lang w:eastAsia="zh-CN"/>
        </w:rPr>
      </w:pPr>
      <w:r>
        <w:rPr>
          <w:rFonts w:hint="eastAsia"/>
          <w:lang w:eastAsia="zh-CN"/>
        </w:rPr>
        <w:t>7.3.3  在地下水自流钻孔中，可根据水文地质的要求接高孔口管或安装水压表测量水头高度和涌水量。</w:t>
      </w:r>
    </w:p>
    <w:p w14:paraId="1CF05AF8">
      <w:pPr>
        <w:pStyle w:val="9"/>
        <w:rPr>
          <w:lang w:eastAsia="zh-CN"/>
        </w:rPr>
      </w:pPr>
      <w:r>
        <w:rPr>
          <w:rFonts w:hint="eastAsia"/>
          <w:lang w:eastAsia="zh-CN"/>
        </w:rPr>
        <w:t>7.3.4  孔内发现热水，应测量孔口水温及井温。</w:t>
      </w:r>
    </w:p>
    <w:p w14:paraId="7E5AE03B">
      <w:pPr>
        <w:spacing w:line="360" w:lineRule="auto"/>
        <w:rPr>
          <w:rFonts w:ascii="黑体" w:hAnsi="黑体" w:eastAsia="黑体" w:cs="黑体"/>
          <w:sz w:val="24"/>
          <w:szCs w:val="24"/>
        </w:rPr>
      </w:pPr>
      <w:r>
        <w:rPr>
          <w:rFonts w:hint="eastAsia" w:ascii="黑体" w:hAnsi="黑体" w:eastAsia="黑体" w:cs="黑体"/>
          <w:sz w:val="24"/>
          <w:szCs w:val="24"/>
        </w:rPr>
        <w:t>7.4  孔深误差的测量与校正</w:t>
      </w:r>
    </w:p>
    <w:p w14:paraId="562BA04A">
      <w:pPr>
        <w:pStyle w:val="9"/>
        <w:rPr>
          <w:lang w:eastAsia="zh-CN"/>
        </w:rPr>
      </w:pPr>
      <w:r>
        <w:rPr>
          <w:rFonts w:hint="eastAsia"/>
          <w:lang w:eastAsia="zh-CN"/>
        </w:rPr>
        <w:t>7.4.1  丈量钻具：每钻进100m均应进行一次钻具丈量并记录于班报表中。孔深误差＜1‰时，不修正报表，孔深误差＞1‰时，应按测量孔深修正报表。</w:t>
      </w:r>
    </w:p>
    <w:p w14:paraId="42ED0EC7">
      <w:pPr>
        <w:pStyle w:val="9"/>
        <w:rPr>
          <w:lang w:eastAsia="zh-CN"/>
        </w:rPr>
      </w:pPr>
      <w:r>
        <w:rPr>
          <w:rFonts w:hint="eastAsia"/>
          <w:lang w:eastAsia="zh-CN"/>
        </w:rPr>
        <w:t>7.4.2  在下列部位必须校正孔深:①每钻进100米、进出矿层时（矿层厚度小于5米时，只测一次）；②经地质编录人员确认的重要构造位置；③下套管前和终孔后。</w:t>
      </w:r>
    </w:p>
    <w:p w14:paraId="0AC5D4C9">
      <w:pPr>
        <w:pStyle w:val="9"/>
        <w:rPr>
          <w:lang w:eastAsia="zh-CN"/>
        </w:rPr>
      </w:pPr>
      <w:r>
        <w:rPr>
          <w:rFonts w:hint="eastAsia"/>
          <w:lang w:eastAsia="zh-CN"/>
        </w:rPr>
        <w:t>7.4.3  孔深误差率按下列公式计算：</w:t>
      </w:r>
    </w:p>
    <w:p w14:paraId="5F054510">
      <w:pPr>
        <w:pStyle w:val="9"/>
        <w:rPr>
          <w:lang w:eastAsia="zh-CN"/>
        </w:rPr>
      </w:pPr>
      <w:r>
        <w:rPr>
          <w:rFonts w:hint="eastAsia"/>
          <w:lang w:eastAsia="zh-CN"/>
        </w:rPr>
        <w:t>孔深误差率=(校正前的孔深/ 校正后的孔深－1)×1000‰</w:t>
      </w:r>
    </w:p>
    <w:p w14:paraId="32F651C7">
      <w:pPr>
        <w:spacing w:line="360" w:lineRule="auto"/>
        <w:rPr>
          <w:rFonts w:ascii="黑体" w:hAnsi="黑体" w:eastAsia="黑体" w:cs="黑体"/>
          <w:sz w:val="24"/>
          <w:szCs w:val="24"/>
        </w:rPr>
      </w:pPr>
      <w:r>
        <w:rPr>
          <w:rFonts w:hint="eastAsia" w:ascii="黑体" w:hAnsi="黑体" w:eastAsia="黑体" w:cs="黑体"/>
          <w:sz w:val="24"/>
          <w:szCs w:val="24"/>
        </w:rPr>
        <w:t>7.5  原始班报表</w:t>
      </w:r>
    </w:p>
    <w:p w14:paraId="769445A8">
      <w:pPr>
        <w:pStyle w:val="9"/>
        <w:rPr>
          <w:lang w:eastAsia="zh-CN"/>
        </w:rPr>
      </w:pPr>
      <w:r>
        <w:rPr>
          <w:rFonts w:hint="eastAsia"/>
          <w:lang w:eastAsia="zh-CN"/>
        </w:rPr>
        <w:t>原始班报表应由各班次指定专人在现场用钢笔及时填写，要求即时、真实、齐全、准确、整洁。钻孔弯曲度测量、钻具丈量及简易水文观测结果均应记录于测定当日当班的班报表中。</w:t>
      </w:r>
    </w:p>
    <w:p w14:paraId="3D959994">
      <w:pPr>
        <w:spacing w:line="360" w:lineRule="auto"/>
        <w:rPr>
          <w:rFonts w:ascii="黑体" w:hAnsi="黑体" w:eastAsia="黑体" w:cs="黑体"/>
          <w:sz w:val="24"/>
          <w:szCs w:val="24"/>
        </w:rPr>
      </w:pPr>
      <w:r>
        <w:rPr>
          <w:rFonts w:hint="eastAsia" w:ascii="黑体" w:hAnsi="黑体" w:eastAsia="黑体" w:cs="黑体"/>
          <w:sz w:val="24"/>
          <w:szCs w:val="24"/>
        </w:rPr>
        <w:t>7.6  封孔</w:t>
      </w:r>
    </w:p>
    <w:p w14:paraId="1FAF64CC">
      <w:pPr>
        <w:pStyle w:val="9"/>
        <w:rPr>
          <w:lang w:eastAsia="zh-CN"/>
        </w:rPr>
      </w:pPr>
      <w:r>
        <w:rPr>
          <w:rFonts w:hint="eastAsia"/>
          <w:lang w:eastAsia="zh-CN"/>
        </w:rPr>
        <w:t>7.6.1  终孔乙方根据甲方提出的实际钻孔柱状示意图和封孔要求编写封孔设计，经甲方项目技术负责批准后执行。</w:t>
      </w:r>
    </w:p>
    <w:p w14:paraId="0548F967">
      <w:pPr>
        <w:pStyle w:val="9"/>
        <w:rPr>
          <w:lang w:eastAsia="zh-CN"/>
        </w:rPr>
      </w:pPr>
      <w:r>
        <w:rPr>
          <w:rFonts w:hint="eastAsia"/>
          <w:lang w:eastAsia="zh-CN"/>
        </w:rPr>
        <w:t>7.6.2  不同地质条件下的封孔要求:①见矿层位及见含水层、含水构造的钻孔均需在矿层及含水层顶、底板上下各五米范围内，用42.5号以上的普通硅酸盐水泥或抗硫酸盐水泥封闭；②矿层不厚或矿层与矿层、矿层与含水层较近时，可一并封闭；③需要进行地下水动态观测或对农田灌溉有利的钻孔，可暂不封闭。但对矿床充水有严重影响的钻孔，必须封闭；④孔壁严重坍塌或孔内有遗留物堵塞，无法处理时，可以只封上述部位以上的孔段，但应在班报表中予以明确记录。</w:t>
      </w:r>
    </w:p>
    <w:p w14:paraId="5192654C">
      <w:pPr>
        <w:pStyle w:val="9"/>
        <w:rPr>
          <w:lang w:eastAsia="zh-CN"/>
        </w:rPr>
      </w:pPr>
      <w:r>
        <w:rPr>
          <w:rFonts w:hint="eastAsia"/>
          <w:lang w:eastAsia="zh-CN"/>
        </w:rPr>
        <w:t>7.6.3  封孔后必须在孔口中心处埋设水泥标志桩（用水泥固定）。机长将《钻孔封孔设计和封孔记录表》送交甲方。</w:t>
      </w:r>
    </w:p>
    <w:p w14:paraId="00CB721A">
      <w:pPr>
        <w:pStyle w:val="9"/>
        <w:rPr>
          <w:lang w:eastAsia="zh-CN"/>
        </w:rPr>
      </w:pPr>
      <w:r>
        <w:rPr>
          <w:rFonts w:hint="eastAsia"/>
          <w:lang w:eastAsia="zh-CN"/>
        </w:rPr>
        <w:t>7.6.4  根据工作阶段和工作量的多少，经甲方确定，选择一定量钻孔进行透孔，对封孔质量进行检查。</w:t>
      </w:r>
    </w:p>
    <w:p w14:paraId="1232CB00">
      <w:pPr>
        <w:spacing w:line="360" w:lineRule="auto"/>
        <w:rPr>
          <w:rFonts w:ascii="黑体" w:hAnsi="黑体" w:eastAsia="黑体" w:cs="黑体"/>
          <w:sz w:val="24"/>
          <w:szCs w:val="24"/>
        </w:rPr>
      </w:pPr>
      <w:r>
        <w:rPr>
          <w:rFonts w:hint="eastAsia" w:ascii="黑体" w:hAnsi="黑体" w:eastAsia="黑体" w:cs="黑体"/>
          <w:sz w:val="24"/>
          <w:szCs w:val="24"/>
        </w:rPr>
        <w:t>第八条  验收及结算办法</w:t>
      </w:r>
    </w:p>
    <w:p w14:paraId="1826E72D">
      <w:pPr>
        <w:pStyle w:val="9"/>
        <w:rPr>
          <w:lang w:eastAsia="zh-CN"/>
        </w:rPr>
      </w:pPr>
      <w:r>
        <w:rPr>
          <w:rFonts w:hint="eastAsia"/>
          <w:lang w:eastAsia="zh-CN"/>
        </w:rPr>
        <w:t>8.1  实行逐孔验收的方法。乙方在各孔终孔后即按照甲方的规定申报终孔验收。乙方获准并封孔后在2个工作日内向甲方提交全部资料。双方根据约定的标准进行验收，确定单个钻孔的工程质量。</w:t>
      </w:r>
    </w:p>
    <w:p w14:paraId="53DC0AD1">
      <w:pPr>
        <w:pStyle w:val="9"/>
        <w:rPr>
          <w:lang w:eastAsia="zh-CN"/>
        </w:rPr>
      </w:pPr>
      <w:r>
        <w:rPr>
          <w:rFonts w:hint="eastAsia"/>
          <w:lang w:eastAsia="zh-CN"/>
        </w:rPr>
        <w:t>8.2  本年度钻探施工结束验收合格后，凭工区开具的钻探结算单进行结算。本年度钻探工作结束一个月内支付完成工程价款的90%，剩余的10%作为质量、安全保证金，在施工结束设备撤场后，无人身事故及法律纠纷的情况下，满一年后支付。乙方在结算时，需向甲方提供合法有效的增值税专用发票。</w:t>
      </w:r>
    </w:p>
    <w:p w14:paraId="07CEC771">
      <w:pPr>
        <w:pStyle w:val="9"/>
        <w:rPr>
          <w:lang w:eastAsia="zh-CN"/>
        </w:rPr>
      </w:pPr>
      <w:r>
        <w:rPr>
          <w:rFonts w:hint="eastAsia"/>
          <w:lang w:eastAsia="zh-CN"/>
        </w:rPr>
        <w:t>8.3  不能按工期完工而影响项目整体施工进度时，甲方有权责令乙方停止施工并撤离本工区，已经施工的工程量报废。</w:t>
      </w:r>
    </w:p>
    <w:p w14:paraId="04284578">
      <w:pPr>
        <w:pStyle w:val="9"/>
        <w:rPr>
          <w:lang w:eastAsia="zh-CN"/>
        </w:rPr>
      </w:pPr>
      <w:r>
        <w:rPr>
          <w:rFonts w:hint="eastAsia"/>
          <w:lang w:eastAsia="zh-CN"/>
        </w:rPr>
        <w:t>8.4  弄虚作假、编报假资料，一经发现则停止施工并撤离本工区，已经施工的工程量报废。</w:t>
      </w:r>
    </w:p>
    <w:p w14:paraId="0AC03D7D">
      <w:pPr>
        <w:pStyle w:val="9"/>
        <w:rPr>
          <w:lang w:eastAsia="zh-CN"/>
        </w:rPr>
      </w:pPr>
      <w:r>
        <w:rPr>
          <w:rFonts w:hint="eastAsia"/>
          <w:lang w:eastAsia="zh-CN"/>
        </w:rPr>
        <w:t>8.5  严重违反国家法律、法规及不服从甲方的工作安排或不按现行规范、规程施工，甲方有权责令乙方停止施工并撤离本工区，已经施工的工程量报废。</w:t>
      </w:r>
    </w:p>
    <w:p w14:paraId="547D0A44">
      <w:pPr>
        <w:spacing w:line="360" w:lineRule="auto"/>
        <w:rPr>
          <w:rFonts w:ascii="黑体" w:hAnsi="黑体" w:eastAsia="黑体" w:cs="黑体"/>
          <w:sz w:val="24"/>
          <w:szCs w:val="24"/>
        </w:rPr>
      </w:pPr>
      <w:r>
        <w:rPr>
          <w:rFonts w:hint="eastAsia" w:ascii="黑体" w:hAnsi="黑体" w:eastAsia="黑体" w:cs="黑体"/>
          <w:sz w:val="24"/>
          <w:szCs w:val="24"/>
        </w:rPr>
        <w:t>第九条  其它</w:t>
      </w:r>
    </w:p>
    <w:p w14:paraId="76E2E401">
      <w:pPr>
        <w:pStyle w:val="9"/>
        <w:rPr>
          <w:lang w:eastAsia="zh-CN"/>
        </w:rPr>
      </w:pPr>
      <w:r>
        <w:rPr>
          <w:rFonts w:hint="eastAsia"/>
          <w:lang w:eastAsia="zh-CN"/>
        </w:rPr>
        <w:t>9.1  本合同自双方单位法定代表人或其委托代理人签字盖章后生效，在乙方完成了约定的工作内容并经验收合格，甲方支付完毕工作费用后，该合同自动终止。</w:t>
      </w:r>
    </w:p>
    <w:p w14:paraId="21C61F1B">
      <w:pPr>
        <w:pStyle w:val="9"/>
        <w:rPr>
          <w:lang w:eastAsia="zh-CN"/>
        </w:rPr>
      </w:pPr>
      <w:r>
        <w:rPr>
          <w:rFonts w:hint="eastAsia"/>
          <w:lang w:eastAsia="zh-CN"/>
        </w:rPr>
        <w:t>9.2 本合同未尽事宜，甲乙双方应本着实事求是、合情合理、互谅互让的原则另行协议，书面确认，作为本合同的补充，并与本合同具有同等的法律效力。</w:t>
      </w:r>
    </w:p>
    <w:p w14:paraId="267D8073">
      <w:pPr>
        <w:pStyle w:val="9"/>
        <w:rPr>
          <w:lang w:eastAsia="zh-CN"/>
        </w:rPr>
      </w:pPr>
      <w:r>
        <w:rPr>
          <w:rFonts w:hint="eastAsia"/>
          <w:lang w:eastAsia="zh-CN"/>
        </w:rPr>
        <w:t>9.3  签订本合同的同时必须签订《安全生产合同》</w:t>
      </w:r>
    </w:p>
    <w:p w14:paraId="37E99D5D">
      <w:pPr>
        <w:pStyle w:val="9"/>
        <w:rPr>
          <w:lang w:eastAsia="zh-CN"/>
        </w:rPr>
      </w:pPr>
      <w:r>
        <w:rPr>
          <w:rFonts w:hint="eastAsia"/>
          <w:lang w:eastAsia="zh-CN"/>
        </w:rPr>
        <w:t>9.4 本合同一式四份，甲乙双方各执贰份，同具法律效力。</w:t>
      </w:r>
    </w:p>
    <w:p w14:paraId="53B20509">
      <w:pPr>
        <w:pStyle w:val="9"/>
        <w:rPr>
          <w:lang w:eastAsia="zh-CN"/>
        </w:rPr>
      </w:pPr>
    </w:p>
    <w:p w14:paraId="50162380">
      <w:pPr>
        <w:pStyle w:val="9"/>
        <w:rPr>
          <w:lang w:eastAsia="zh-CN"/>
        </w:rPr>
      </w:pPr>
    </w:p>
    <w:p w14:paraId="3F5785B6">
      <w:pPr>
        <w:pStyle w:val="9"/>
        <w:rPr>
          <w:lang w:eastAsia="zh-CN"/>
        </w:rPr>
      </w:pPr>
    </w:p>
    <w:p w14:paraId="3DFBA7F1">
      <w:pPr>
        <w:pStyle w:val="9"/>
        <w:rPr>
          <w:lang w:eastAsia="zh-CN"/>
        </w:rPr>
      </w:pPr>
    </w:p>
    <w:p w14:paraId="2CCE2031">
      <w:pPr>
        <w:pStyle w:val="9"/>
        <w:rPr>
          <w:lang w:eastAsia="zh-CN"/>
        </w:rPr>
      </w:pPr>
    </w:p>
    <w:p w14:paraId="091595A8">
      <w:pPr>
        <w:pStyle w:val="9"/>
        <w:rPr>
          <w:lang w:eastAsia="zh-CN"/>
        </w:rPr>
      </w:pPr>
    </w:p>
    <w:p w14:paraId="46CE08D7">
      <w:pPr>
        <w:pStyle w:val="9"/>
        <w:rPr>
          <w:lang w:eastAsia="zh-CN"/>
        </w:rPr>
      </w:pPr>
    </w:p>
    <w:p w14:paraId="3980A8DC">
      <w:pPr>
        <w:pStyle w:val="9"/>
        <w:rPr>
          <w:lang w:eastAsia="zh-CN"/>
        </w:rPr>
      </w:pPr>
    </w:p>
    <w:p w14:paraId="7E290963">
      <w:pPr>
        <w:pStyle w:val="9"/>
        <w:rPr>
          <w:lang w:eastAsia="zh-CN"/>
        </w:rPr>
      </w:pPr>
    </w:p>
    <w:p w14:paraId="4C9BA60C">
      <w:pPr>
        <w:pStyle w:val="9"/>
        <w:rPr>
          <w:lang w:eastAsia="zh-CN"/>
        </w:rPr>
      </w:pPr>
    </w:p>
    <w:p w14:paraId="046D30E6">
      <w:pPr>
        <w:pStyle w:val="9"/>
        <w:rPr>
          <w:lang w:eastAsia="zh-CN"/>
        </w:rPr>
      </w:pPr>
    </w:p>
    <w:p w14:paraId="4D6C09DD">
      <w:pPr>
        <w:pStyle w:val="9"/>
        <w:ind w:firstLine="0" w:firstLineChars="0"/>
        <w:rPr>
          <w:lang w:eastAsia="zh-CN"/>
        </w:rPr>
      </w:pPr>
    </w:p>
    <w:tbl>
      <w:tblPr>
        <w:tblStyle w:val="17"/>
        <w:tblW w:w="9842" w:type="dxa"/>
        <w:tblInd w:w="469" w:type="dxa"/>
        <w:tblLayout w:type="fixed"/>
        <w:tblCellMar>
          <w:top w:w="0" w:type="dxa"/>
          <w:left w:w="108" w:type="dxa"/>
          <w:bottom w:w="0" w:type="dxa"/>
          <w:right w:w="108" w:type="dxa"/>
        </w:tblCellMar>
      </w:tblPr>
      <w:tblGrid>
        <w:gridCol w:w="4386"/>
        <w:gridCol w:w="5456"/>
      </w:tblGrid>
      <w:tr w14:paraId="07A1D0DC">
        <w:tblPrEx>
          <w:tblCellMar>
            <w:top w:w="0" w:type="dxa"/>
            <w:left w:w="108" w:type="dxa"/>
            <w:bottom w:w="0" w:type="dxa"/>
            <w:right w:w="108" w:type="dxa"/>
          </w:tblCellMar>
        </w:tblPrEx>
        <w:trPr>
          <w:trHeight w:val="580" w:hRule="atLeast"/>
        </w:trPr>
        <w:tc>
          <w:tcPr>
            <w:tcW w:w="4386" w:type="dxa"/>
            <w:vAlign w:val="center"/>
          </w:tcPr>
          <w:p w14:paraId="39413FF4">
            <w:pPr>
              <w:pStyle w:val="9"/>
              <w:ind w:firstLine="0" w:firstLineChars="0"/>
              <w:rPr>
                <w:lang w:eastAsia="zh-CN"/>
              </w:rPr>
            </w:pPr>
            <w:r>
              <w:rPr>
                <w:rFonts w:hint="eastAsia"/>
                <w:lang w:eastAsia="zh-CN"/>
              </w:rPr>
              <w:t>甲方：内蒙古地质工程有限责任公司(盖章)</w:t>
            </w:r>
          </w:p>
        </w:tc>
        <w:tc>
          <w:tcPr>
            <w:tcW w:w="5456" w:type="dxa"/>
            <w:vAlign w:val="center"/>
          </w:tcPr>
          <w:p w14:paraId="4721B12C">
            <w:pPr>
              <w:pStyle w:val="9"/>
              <w:ind w:firstLine="0" w:firstLineChars="0"/>
            </w:pPr>
            <w:r>
              <w:rPr>
                <w:rFonts w:hint="eastAsia"/>
              </w:rPr>
              <w:t xml:space="preserve">乙方： </w:t>
            </w:r>
          </w:p>
        </w:tc>
      </w:tr>
      <w:tr w14:paraId="1C395F6D">
        <w:tblPrEx>
          <w:tblCellMar>
            <w:top w:w="0" w:type="dxa"/>
            <w:left w:w="108" w:type="dxa"/>
            <w:bottom w:w="0" w:type="dxa"/>
            <w:right w:w="108" w:type="dxa"/>
          </w:tblCellMar>
        </w:tblPrEx>
        <w:trPr>
          <w:trHeight w:val="1132" w:hRule="atLeast"/>
        </w:trPr>
        <w:tc>
          <w:tcPr>
            <w:tcW w:w="4386" w:type="dxa"/>
            <w:vAlign w:val="center"/>
          </w:tcPr>
          <w:p w14:paraId="45F3FB35">
            <w:pPr>
              <w:pStyle w:val="9"/>
              <w:ind w:firstLine="0" w:firstLineChars="0"/>
              <w:rPr>
                <w:lang w:eastAsia="zh-CN"/>
              </w:rPr>
            </w:pPr>
            <w:r>
              <w:rPr>
                <w:rFonts w:hint="eastAsia"/>
                <w:lang w:eastAsia="zh-CN"/>
              </w:rPr>
              <w:t>法定代表人或委托代理人：</w:t>
            </w:r>
          </w:p>
          <w:p w14:paraId="3D39CE07">
            <w:pPr>
              <w:pStyle w:val="9"/>
              <w:ind w:firstLine="0" w:firstLineChars="0"/>
              <w:rPr>
                <w:lang w:eastAsia="zh-CN"/>
              </w:rPr>
            </w:pPr>
            <w:r>
              <w:rPr>
                <w:rFonts w:hint="eastAsia"/>
                <w:lang w:eastAsia="zh-CN"/>
              </w:rPr>
              <w:t>（签字）</w:t>
            </w:r>
          </w:p>
        </w:tc>
        <w:tc>
          <w:tcPr>
            <w:tcW w:w="5456" w:type="dxa"/>
            <w:vAlign w:val="center"/>
          </w:tcPr>
          <w:p w14:paraId="556104C0">
            <w:pPr>
              <w:pStyle w:val="9"/>
              <w:ind w:firstLine="0" w:firstLineChars="0"/>
              <w:rPr>
                <w:lang w:eastAsia="zh-CN"/>
              </w:rPr>
            </w:pPr>
            <w:r>
              <w:rPr>
                <w:rFonts w:hint="eastAsia"/>
                <w:lang w:eastAsia="zh-CN"/>
              </w:rPr>
              <w:t>法定代表人或委托代理人：</w:t>
            </w:r>
          </w:p>
          <w:p w14:paraId="0F53822D">
            <w:pPr>
              <w:pStyle w:val="9"/>
              <w:ind w:firstLine="0" w:firstLineChars="0"/>
              <w:rPr>
                <w:lang w:eastAsia="zh-CN"/>
              </w:rPr>
            </w:pPr>
            <w:r>
              <w:rPr>
                <w:rFonts w:hint="eastAsia"/>
                <w:lang w:eastAsia="zh-CN"/>
              </w:rPr>
              <w:t>（签字）</w:t>
            </w:r>
          </w:p>
        </w:tc>
      </w:tr>
      <w:tr w14:paraId="32C32472">
        <w:tblPrEx>
          <w:tblCellMar>
            <w:top w:w="0" w:type="dxa"/>
            <w:left w:w="108" w:type="dxa"/>
            <w:bottom w:w="0" w:type="dxa"/>
            <w:right w:w="108" w:type="dxa"/>
          </w:tblCellMar>
        </w:tblPrEx>
        <w:trPr>
          <w:trHeight w:val="580" w:hRule="atLeast"/>
        </w:trPr>
        <w:tc>
          <w:tcPr>
            <w:tcW w:w="4386" w:type="dxa"/>
            <w:vAlign w:val="center"/>
          </w:tcPr>
          <w:p w14:paraId="39170C12">
            <w:pPr>
              <w:pStyle w:val="9"/>
              <w:ind w:firstLine="0" w:firstLineChars="0"/>
              <w:rPr>
                <w:lang w:eastAsia="zh-CN"/>
              </w:rPr>
            </w:pPr>
            <w:r>
              <w:rPr>
                <w:rFonts w:hint="eastAsia"/>
              </w:rPr>
              <w:t>联系人：</w:t>
            </w:r>
            <w:r>
              <w:rPr>
                <w:rFonts w:hint="eastAsia"/>
                <w:lang w:eastAsia="zh-CN"/>
              </w:rPr>
              <w:t>栗健强</w:t>
            </w:r>
          </w:p>
        </w:tc>
        <w:tc>
          <w:tcPr>
            <w:tcW w:w="5456" w:type="dxa"/>
            <w:vAlign w:val="center"/>
          </w:tcPr>
          <w:p w14:paraId="390D0B38">
            <w:pPr>
              <w:pStyle w:val="9"/>
              <w:ind w:firstLine="0" w:firstLineChars="0"/>
            </w:pPr>
            <w:r>
              <w:rPr>
                <w:rFonts w:hint="eastAsia"/>
              </w:rPr>
              <w:t xml:space="preserve">联系人： </w:t>
            </w:r>
          </w:p>
        </w:tc>
      </w:tr>
      <w:tr w14:paraId="409DBE78">
        <w:tblPrEx>
          <w:tblCellMar>
            <w:top w:w="0" w:type="dxa"/>
            <w:left w:w="108" w:type="dxa"/>
            <w:bottom w:w="0" w:type="dxa"/>
            <w:right w:w="108" w:type="dxa"/>
          </w:tblCellMar>
        </w:tblPrEx>
        <w:trPr>
          <w:trHeight w:val="580" w:hRule="atLeast"/>
        </w:trPr>
        <w:tc>
          <w:tcPr>
            <w:tcW w:w="4386" w:type="dxa"/>
            <w:vAlign w:val="center"/>
          </w:tcPr>
          <w:p w14:paraId="7F88B89A">
            <w:pPr>
              <w:pStyle w:val="9"/>
              <w:ind w:firstLine="0" w:firstLineChars="0"/>
              <w:rPr>
                <w:lang w:eastAsia="zh-CN"/>
              </w:rPr>
            </w:pPr>
            <w:r>
              <w:rPr>
                <w:rFonts w:hint="eastAsia"/>
              </w:rPr>
              <w:t>联系电话：</w:t>
            </w:r>
            <w:r>
              <w:rPr>
                <w:rFonts w:hint="eastAsia"/>
                <w:lang w:eastAsia="zh-CN"/>
              </w:rPr>
              <w:t>15847776508</w:t>
            </w:r>
          </w:p>
        </w:tc>
        <w:tc>
          <w:tcPr>
            <w:tcW w:w="5456" w:type="dxa"/>
            <w:vAlign w:val="center"/>
          </w:tcPr>
          <w:p w14:paraId="39DC0C5E">
            <w:pPr>
              <w:pStyle w:val="9"/>
              <w:ind w:firstLine="0" w:firstLineChars="0"/>
            </w:pPr>
            <w:r>
              <w:rPr>
                <w:rFonts w:hint="eastAsia"/>
              </w:rPr>
              <w:t>联系电话：</w:t>
            </w:r>
          </w:p>
        </w:tc>
      </w:tr>
      <w:tr w14:paraId="1E98684B">
        <w:tblPrEx>
          <w:tblCellMar>
            <w:top w:w="0" w:type="dxa"/>
            <w:left w:w="108" w:type="dxa"/>
            <w:bottom w:w="0" w:type="dxa"/>
            <w:right w:w="108" w:type="dxa"/>
          </w:tblCellMar>
        </w:tblPrEx>
        <w:trPr>
          <w:trHeight w:val="580" w:hRule="atLeast"/>
        </w:trPr>
        <w:tc>
          <w:tcPr>
            <w:tcW w:w="4386" w:type="dxa"/>
            <w:vAlign w:val="center"/>
          </w:tcPr>
          <w:p w14:paraId="25AC8FEE">
            <w:pPr>
              <w:pStyle w:val="9"/>
              <w:ind w:left="1200" w:hanging="1200" w:hangingChars="500"/>
              <w:rPr>
                <w:lang w:eastAsia="zh-CN"/>
              </w:rPr>
            </w:pPr>
            <w:r>
              <w:rPr>
                <w:rFonts w:hint="eastAsia"/>
                <w:lang w:eastAsia="zh-CN"/>
              </w:rPr>
              <w:t>单位地址：呼和浩特市新华东街87号奈伦际A座8-10楼</w:t>
            </w:r>
          </w:p>
        </w:tc>
        <w:tc>
          <w:tcPr>
            <w:tcW w:w="5456" w:type="dxa"/>
            <w:vAlign w:val="center"/>
          </w:tcPr>
          <w:p w14:paraId="7F30CD35">
            <w:pPr>
              <w:pStyle w:val="9"/>
              <w:ind w:firstLine="0" w:firstLineChars="0"/>
            </w:pPr>
            <w:r>
              <w:rPr>
                <w:rFonts w:hint="eastAsia"/>
              </w:rPr>
              <w:t>单位地址：</w:t>
            </w:r>
          </w:p>
          <w:p w14:paraId="084FF44B">
            <w:pPr>
              <w:pStyle w:val="9"/>
              <w:ind w:left="420" w:leftChars="200" w:firstLine="0" w:firstLineChars="0"/>
            </w:pPr>
          </w:p>
        </w:tc>
      </w:tr>
      <w:tr w14:paraId="7E7F90D0">
        <w:tblPrEx>
          <w:tblCellMar>
            <w:top w:w="0" w:type="dxa"/>
            <w:left w:w="108" w:type="dxa"/>
            <w:bottom w:w="0" w:type="dxa"/>
            <w:right w:w="108" w:type="dxa"/>
          </w:tblCellMar>
        </w:tblPrEx>
        <w:trPr>
          <w:trHeight w:val="552" w:hRule="atLeast"/>
        </w:trPr>
        <w:tc>
          <w:tcPr>
            <w:tcW w:w="4386" w:type="dxa"/>
            <w:vAlign w:val="center"/>
          </w:tcPr>
          <w:p w14:paraId="50118783">
            <w:pPr>
              <w:pStyle w:val="9"/>
              <w:ind w:firstLine="0" w:firstLineChars="0"/>
              <w:rPr>
                <w:lang w:eastAsia="zh-CN"/>
              </w:rPr>
            </w:pPr>
            <w:r>
              <w:rPr>
                <w:rFonts w:hint="eastAsia"/>
                <w:lang w:eastAsia="zh-CN"/>
              </w:rPr>
              <w:t>开户银行：中国工商银行股份有限公司呼和浩特明珠支行</w:t>
            </w:r>
          </w:p>
        </w:tc>
        <w:tc>
          <w:tcPr>
            <w:tcW w:w="5456" w:type="dxa"/>
            <w:vAlign w:val="center"/>
          </w:tcPr>
          <w:p w14:paraId="50FA4966">
            <w:pPr>
              <w:pStyle w:val="9"/>
              <w:ind w:firstLine="0" w:firstLineChars="0"/>
            </w:pPr>
            <w:r>
              <w:rPr>
                <w:rFonts w:hint="eastAsia"/>
              </w:rPr>
              <w:t xml:space="preserve">开户银行： </w:t>
            </w:r>
          </w:p>
        </w:tc>
      </w:tr>
      <w:tr w14:paraId="340EE0F4">
        <w:tblPrEx>
          <w:tblCellMar>
            <w:top w:w="0" w:type="dxa"/>
            <w:left w:w="108" w:type="dxa"/>
            <w:bottom w:w="0" w:type="dxa"/>
            <w:right w:w="108" w:type="dxa"/>
          </w:tblCellMar>
        </w:tblPrEx>
        <w:trPr>
          <w:trHeight w:val="552" w:hRule="atLeast"/>
        </w:trPr>
        <w:tc>
          <w:tcPr>
            <w:tcW w:w="4386" w:type="dxa"/>
            <w:vAlign w:val="center"/>
          </w:tcPr>
          <w:p w14:paraId="44A6D785">
            <w:pPr>
              <w:pStyle w:val="9"/>
              <w:ind w:firstLine="0" w:firstLineChars="0"/>
              <w:rPr>
                <w:lang w:eastAsia="zh-CN"/>
              </w:rPr>
            </w:pPr>
            <w:r>
              <w:rPr>
                <w:rFonts w:hint="eastAsia"/>
              </w:rPr>
              <w:t>账号：0602000609200194750</w:t>
            </w:r>
          </w:p>
        </w:tc>
        <w:tc>
          <w:tcPr>
            <w:tcW w:w="5456" w:type="dxa"/>
            <w:vAlign w:val="center"/>
          </w:tcPr>
          <w:p w14:paraId="37536AD9">
            <w:pPr>
              <w:pStyle w:val="9"/>
              <w:ind w:firstLine="0" w:firstLineChars="0"/>
            </w:pPr>
            <w:r>
              <w:rPr>
                <w:rFonts w:hint="eastAsia"/>
              </w:rPr>
              <w:t>账号：</w:t>
            </w:r>
          </w:p>
        </w:tc>
      </w:tr>
      <w:tr w14:paraId="7F2DCAE0">
        <w:tblPrEx>
          <w:tblCellMar>
            <w:top w:w="0" w:type="dxa"/>
            <w:left w:w="108" w:type="dxa"/>
            <w:bottom w:w="0" w:type="dxa"/>
            <w:right w:w="108" w:type="dxa"/>
          </w:tblCellMar>
        </w:tblPrEx>
        <w:trPr>
          <w:trHeight w:val="552" w:hRule="atLeast"/>
        </w:trPr>
        <w:tc>
          <w:tcPr>
            <w:tcW w:w="4386" w:type="dxa"/>
            <w:vAlign w:val="center"/>
          </w:tcPr>
          <w:p w14:paraId="5495F9BC">
            <w:pPr>
              <w:pStyle w:val="9"/>
              <w:ind w:firstLine="0" w:firstLineChars="0"/>
            </w:pPr>
            <w:r>
              <w:rPr>
                <w:rFonts w:hint="eastAsia"/>
              </w:rPr>
              <w:t>邮编：010010</w:t>
            </w:r>
          </w:p>
        </w:tc>
        <w:tc>
          <w:tcPr>
            <w:tcW w:w="5456" w:type="dxa"/>
            <w:vAlign w:val="center"/>
          </w:tcPr>
          <w:p w14:paraId="07588571">
            <w:pPr>
              <w:pStyle w:val="9"/>
              <w:ind w:firstLine="0" w:firstLineChars="0"/>
            </w:pPr>
            <w:r>
              <w:rPr>
                <w:rFonts w:hint="eastAsia"/>
              </w:rPr>
              <w:t>邮编：</w:t>
            </w:r>
          </w:p>
        </w:tc>
      </w:tr>
      <w:tr w14:paraId="39D587F6">
        <w:tblPrEx>
          <w:tblCellMar>
            <w:top w:w="0" w:type="dxa"/>
            <w:left w:w="108" w:type="dxa"/>
            <w:bottom w:w="0" w:type="dxa"/>
            <w:right w:w="108" w:type="dxa"/>
          </w:tblCellMar>
        </w:tblPrEx>
        <w:trPr>
          <w:trHeight w:val="552" w:hRule="atLeast"/>
        </w:trPr>
        <w:tc>
          <w:tcPr>
            <w:tcW w:w="4386" w:type="dxa"/>
            <w:vAlign w:val="center"/>
          </w:tcPr>
          <w:p w14:paraId="4830E5A0">
            <w:pPr>
              <w:pStyle w:val="9"/>
              <w:ind w:firstLine="0" w:firstLineChars="0"/>
              <w:rPr>
                <w:lang w:eastAsia="zh-CN"/>
              </w:rPr>
            </w:pPr>
            <w:r>
              <w:rPr>
                <w:rFonts w:hint="eastAsia"/>
                <w:lang w:eastAsia="zh-CN"/>
              </w:rPr>
              <w:t>合同签订地点：呼和浩特市</w:t>
            </w:r>
          </w:p>
        </w:tc>
        <w:tc>
          <w:tcPr>
            <w:tcW w:w="5456" w:type="dxa"/>
            <w:vAlign w:val="center"/>
          </w:tcPr>
          <w:p w14:paraId="1F2869C5">
            <w:pPr>
              <w:pStyle w:val="9"/>
              <w:tabs>
                <w:tab w:val="left" w:pos="705"/>
              </w:tabs>
              <w:ind w:firstLine="0" w:firstLineChars="0"/>
              <w:rPr>
                <w:lang w:eastAsia="zh-CN"/>
              </w:rPr>
            </w:pPr>
            <w:r>
              <w:rPr>
                <w:rFonts w:hint="eastAsia"/>
                <w:lang w:eastAsia="zh-CN"/>
              </w:rPr>
              <w:t>合同签订时间：      年  月   日</w:t>
            </w:r>
          </w:p>
        </w:tc>
      </w:tr>
    </w:tbl>
    <w:p w14:paraId="409D1530">
      <w:pPr>
        <w:pStyle w:val="2"/>
        <w:wordWrap w:val="0"/>
        <w:ind w:right="960"/>
        <w:rPr>
          <w:rFonts w:ascii="黑体" w:eastAsia="黑体"/>
          <w:b w:val="0"/>
          <w:sz w:val="32"/>
          <w:szCs w:val="32"/>
        </w:rPr>
        <w:sectPr>
          <w:footerReference r:id="rId5" w:type="default"/>
          <w:pgSz w:w="11906" w:h="16838"/>
          <w:pgMar w:top="1418" w:right="1700" w:bottom="1418" w:left="1560" w:header="851" w:footer="992" w:gutter="0"/>
          <w:pgNumType w:start="1"/>
          <w:cols w:space="720" w:num="1"/>
          <w:docGrid w:type="lines" w:linePitch="312" w:charSpace="0"/>
        </w:sectPr>
      </w:pPr>
    </w:p>
    <w:p w14:paraId="5F5EBEB0">
      <w:pPr>
        <w:spacing w:line="360" w:lineRule="auto"/>
        <w:ind w:firstLine="602" w:firstLineChars="200"/>
        <w:jc w:val="center"/>
        <w:outlineLvl w:val="2"/>
        <w:rPr>
          <w:rFonts w:ascii="宋体" w:hAnsi="宋体" w:eastAsia="宋体" w:cs="宋体"/>
          <w:b/>
          <w:color w:val="000000"/>
          <w:kern w:val="0"/>
          <w:sz w:val="30"/>
          <w:szCs w:val="30"/>
        </w:rPr>
      </w:pPr>
      <w:bookmarkStart w:id="29" w:name="_Toc14180"/>
      <w:r>
        <w:rPr>
          <w:rFonts w:hint="eastAsia" w:ascii="宋体" w:hAnsi="宋体" w:eastAsia="宋体" w:cs="宋体"/>
          <w:b/>
          <w:color w:val="000000"/>
          <w:kern w:val="0"/>
          <w:sz w:val="30"/>
          <w:szCs w:val="30"/>
        </w:rPr>
        <w:t>第六章  报价函（部分格式）</w:t>
      </w:r>
      <w:bookmarkEnd w:id="29"/>
    </w:p>
    <w:p w14:paraId="12B96B71">
      <w:pPr>
        <w:spacing w:line="360" w:lineRule="auto"/>
        <w:ind w:firstLine="562" w:firstLineChars="200"/>
        <w:jc w:val="center"/>
        <w:outlineLvl w:val="2"/>
        <w:rPr>
          <w:rFonts w:ascii="黑体" w:hAnsi="黑体" w:eastAsia="黑体" w:cs="黑体"/>
          <w:b/>
          <w:color w:val="000000"/>
          <w:kern w:val="0"/>
          <w:sz w:val="28"/>
          <w:szCs w:val="28"/>
        </w:rPr>
      </w:pPr>
      <w:bookmarkStart w:id="30" w:name="_Toc183264345"/>
      <w:bookmarkStart w:id="31" w:name="_Toc389658242"/>
      <w:bookmarkStart w:id="32" w:name="_Toc346617346"/>
      <w:bookmarkStart w:id="33" w:name="_Toc25962"/>
      <w:r>
        <w:rPr>
          <w:rFonts w:hint="eastAsia" w:ascii="黑体" w:hAnsi="黑体" w:eastAsia="黑体" w:cs="黑体"/>
          <w:b/>
          <w:color w:val="000000"/>
          <w:kern w:val="0"/>
          <w:sz w:val="28"/>
          <w:szCs w:val="28"/>
        </w:rPr>
        <w:t>一、</w:t>
      </w:r>
      <w:bookmarkEnd w:id="30"/>
      <w:r>
        <w:rPr>
          <w:rFonts w:hint="eastAsia" w:ascii="黑体" w:hAnsi="黑体" w:eastAsia="黑体" w:cs="黑体"/>
          <w:b/>
          <w:color w:val="000000"/>
          <w:kern w:val="0"/>
          <w:sz w:val="28"/>
          <w:szCs w:val="28"/>
        </w:rPr>
        <w:t>报价函</w:t>
      </w:r>
      <w:bookmarkEnd w:id="31"/>
      <w:bookmarkEnd w:id="32"/>
      <w:bookmarkEnd w:id="33"/>
    </w:p>
    <w:p w14:paraId="79D86EC5">
      <w:pPr>
        <w:pStyle w:val="10"/>
        <w:spacing w:line="560" w:lineRule="exact"/>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内蒙古地质工程有限责任公司：</w:t>
      </w:r>
    </w:p>
    <w:p w14:paraId="59600EAB">
      <w:pPr>
        <w:pStyle w:val="10"/>
        <w:spacing w:line="560" w:lineRule="exact"/>
        <w:ind w:left="-2" w:firstLine="480"/>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经研究，我方决定参加项目编号为___________________的采购项目的竞争性谈判活动并提交报价文件，为此，我方郑重声明以下诸点，并负法律责任。</w:t>
      </w:r>
    </w:p>
    <w:p w14:paraId="016E28B4">
      <w:pPr>
        <w:pStyle w:val="10"/>
        <w:spacing w:line="560" w:lineRule="exact"/>
        <w:ind w:left="-2" w:firstLine="480"/>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1、我方提交的报价文件，正本一份，副本</w:t>
      </w:r>
      <w:r>
        <w:rPr>
          <w:rFonts w:hint="eastAsia" w:asciiTheme="minorEastAsia" w:hAnsiTheme="minorEastAsia" w:eastAsiaTheme="minorEastAsia"/>
          <w:color w:val="auto"/>
          <w:sz w:val="28"/>
          <w:szCs w:val="28"/>
          <w:u w:val="single"/>
          <w:lang w:eastAsia="zh-CN"/>
        </w:rPr>
        <w:t>一</w:t>
      </w:r>
      <w:r>
        <w:rPr>
          <w:rFonts w:hint="eastAsia" w:asciiTheme="minorEastAsia" w:hAnsiTheme="minorEastAsia" w:eastAsiaTheme="minorEastAsia"/>
          <w:color w:val="auto"/>
          <w:sz w:val="28"/>
          <w:szCs w:val="28"/>
          <w:lang w:eastAsia="zh-CN"/>
        </w:rPr>
        <w:t>份。</w:t>
      </w:r>
    </w:p>
    <w:p w14:paraId="0C88B239">
      <w:pPr>
        <w:pStyle w:val="10"/>
        <w:spacing w:line="560" w:lineRule="exact"/>
        <w:ind w:left="-2" w:firstLine="480"/>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2、如果我方的报价文件被接受，我方将履行竞争性谈判文件中规定的每一项要求，并按我方报价文件及其承诺按期、保质、保量提供服务。</w:t>
      </w:r>
    </w:p>
    <w:p w14:paraId="0D3CFEF3">
      <w:pPr>
        <w:pStyle w:val="10"/>
        <w:spacing w:line="560" w:lineRule="exact"/>
        <w:ind w:left="-2" w:firstLine="480"/>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3、我方理解贵机构有选择成交供应商的权利。</w:t>
      </w:r>
    </w:p>
    <w:p w14:paraId="544E5B6D">
      <w:pPr>
        <w:pStyle w:val="10"/>
        <w:spacing w:line="560" w:lineRule="exact"/>
        <w:ind w:left="-2" w:firstLine="480"/>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4、我方愿按《中华人民共和国民法典》履行自己的全部责任。</w:t>
      </w:r>
    </w:p>
    <w:p w14:paraId="02F71DA6">
      <w:pPr>
        <w:pStyle w:val="10"/>
        <w:spacing w:line="560" w:lineRule="exact"/>
        <w:ind w:left="-2" w:firstLine="480"/>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5、我方愿意遵守贵机构有关谈判会议的各项规定。</w:t>
      </w:r>
    </w:p>
    <w:p w14:paraId="487BF5D7">
      <w:pPr>
        <w:pStyle w:val="10"/>
        <w:spacing w:line="560" w:lineRule="exact"/>
        <w:ind w:left="571" w:leftChars="272" w:firstLine="382"/>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供应商代表姓名、职务：</w:t>
      </w:r>
    </w:p>
    <w:p w14:paraId="63B5DCD2">
      <w:pPr>
        <w:pStyle w:val="10"/>
        <w:spacing w:line="560" w:lineRule="exact"/>
        <w:ind w:left="571" w:leftChars="272" w:firstLine="382"/>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供应商单位全称（公章）</w:t>
      </w:r>
    </w:p>
    <w:p w14:paraId="247A96E1">
      <w:pPr>
        <w:pStyle w:val="10"/>
        <w:spacing w:line="560" w:lineRule="exact"/>
        <w:ind w:left="571" w:leftChars="272" w:firstLine="382"/>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法定代表人或其授权代理人签字：</w:t>
      </w:r>
    </w:p>
    <w:p w14:paraId="436A4B7D">
      <w:pPr>
        <w:pStyle w:val="10"/>
        <w:spacing w:line="560" w:lineRule="exact"/>
        <w:ind w:left="571" w:leftChars="272"/>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 xml:space="preserve">   地    址：</w:t>
      </w:r>
    </w:p>
    <w:p w14:paraId="5529F6DA">
      <w:pPr>
        <w:pStyle w:val="10"/>
        <w:spacing w:line="560" w:lineRule="exact"/>
        <w:ind w:left="571" w:leftChars="272"/>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 xml:space="preserve">   邮政编码：</w:t>
      </w:r>
    </w:p>
    <w:p w14:paraId="75F219D7">
      <w:pPr>
        <w:pStyle w:val="10"/>
        <w:spacing w:line="560" w:lineRule="exact"/>
        <w:ind w:left="571" w:leftChars="272"/>
        <w:rPr>
          <w:rFonts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eastAsia="zh-CN"/>
        </w:rPr>
        <w:t xml:space="preserve">   电    话：</w:t>
      </w:r>
    </w:p>
    <w:p w14:paraId="204414F7">
      <w:pPr>
        <w:pStyle w:val="10"/>
        <w:rPr>
          <w:rFonts w:asciiTheme="minorEastAsia" w:hAnsiTheme="minorEastAsia" w:eastAsiaTheme="minorEastAsia"/>
          <w:color w:val="auto"/>
          <w:sz w:val="28"/>
          <w:szCs w:val="28"/>
          <w:lang w:eastAsia="zh-CN"/>
        </w:rPr>
      </w:pPr>
    </w:p>
    <w:p w14:paraId="5E29D63A">
      <w:pPr>
        <w:pStyle w:val="10"/>
        <w:jc w:val="right"/>
        <w:rPr>
          <w:rFonts w:hAnsi="宋体"/>
          <w:color w:val="auto"/>
          <w:sz w:val="28"/>
          <w:szCs w:val="28"/>
          <w:lang w:eastAsia="zh-CN"/>
        </w:rPr>
      </w:pPr>
      <w:r>
        <w:rPr>
          <w:rFonts w:hint="eastAsia" w:hAnsi="宋体"/>
          <w:color w:val="auto"/>
          <w:sz w:val="28"/>
          <w:szCs w:val="28"/>
          <w:lang w:eastAsia="zh-CN"/>
        </w:rPr>
        <w:t>年   月   日</w:t>
      </w:r>
    </w:p>
    <w:p w14:paraId="09FF41FA">
      <w:pPr>
        <w:pStyle w:val="10"/>
        <w:ind w:left="6660" w:firstLine="480"/>
        <w:rPr>
          <w:rFonts w:hAnsi="宋体"/>
          <w:color w:val="auto"/>
          <w:lang w:eastAsia="zh-CN"/>
        </w:rPr>
      </w:pPr>
    </w:p>
    <w:p w14:paraId="08FAFAB7">
      <w:pPr>
        <w:pStyle w:val="10"/>
        <w:ind w:left="6660" w:firstLine="480"/>
        <w:rPr>
          <w:rFonts w:hAnsi="宋体"/>
          <w:color w:val="auto"/>
          <w:lang w:eastAsia="zh-CN"/>
        </w:rPr>
      </w:pPr>
    </w:p>
    <w:p w14:paraId="568D7ACC">
      <w:pPr>
        <w:pStyle w:val="10"/>
        <w:ind w:left="6660" w:firstLine="480"/>
        <w:rPr>
          <w:rFonts w:hAnsi="宋体"/>
          <w:color w:val="auto"/>
          <w:lang w:eastAsia="zh-CN"/>
        </w:rPr>
      </w:pPr>
    </w:p>
    <w:p w14:paraId="24D15E50">
      <w:pPr>
        <w:pStyle w:val="10"/>
        <w:ind w:left="6660" w:firstLine="480"/>
        <w:rPr>
          <w:rFonts w:hAnsi="宋体" w:eastAsiaTheme="minorEastAsia"/>
          <w:color w:val="auto"/>
          <w:lang w:eastAsia="zh-CN"/>
        </w:rPr>
      </w:pPr>
    </w:p>
    <w:p w14:paraId="28DA6AF8">
      <w:pPr>
        <w:pStyle w:val="10"/>
        <w:ind w:left="6660" w:firstLine="480"/>
        <w:rPr>
          <w:rFonts w:hAnsi="宋体" w:eastAsiaTheme="minorEastAsia"/>
          <w:color w:val="auto"/>
          <w:lang w:eastAsia="zh-CN"/>
        </w:rPr>
      </w:pPr>
    </w:p>
    <w:p w14:paraId="50BC4389">
      <w:pPr>
        <w:pStyle w:val="10"/>
        <w:ind w:left="6660" w:firstLine="480"/>
        <w:rPr>
          <w:rFonts w:hAnsi="宋体" w:eastAsiaTheme="minorEastAsia"/>
          <w:color w:val="auto"/>
          <w:lang w:eastAsia="zh-CN"/>
        </w:rPr>
      </w:pPr>
    </w:p>
    <w:p w14:paraId="33310C98">
      <w:pPr>
        <w:pStyle w:val="10"/>
        <w:ind w:left="6660" w:firstLine="480"/>
        <w:rPr>
          <w:rFonts w:hAnsi="宋体" w:eastAsiaTheme="minorEastAsia"/>
          <w:color w:val="auto"/>
          <w:lang w:eastAsia="zh-CN"/>
        </w:rPr>
      </w:pPr>
    </w:p>
    <w:p w14:paraId="76FF3D91">
      <w:pPr>
        <w:pStyle w:val="10"/>
        <w:ind w:left="6660" w:firstLine="480"/>
        <w:rPr>
          <w:rFonts w:hAnsi="宋体" w:eastAsiaTheme="minorEastAsia"/>
          <w:color w:val="auto"/>
          <w:lang w:eastAsia="zh-CN"/>
        </w:rPr>
      </w:pPr>
    </w:p>
    <w:p w14:paraId="00F88954">
      <w:pPr>
        <w:pStyle w:val="10"/>
        <w:ind w:left="6660" w:firstLine="480"/>
        <w:rPr>
          <w:rFonts w:hAnsi="宋体" w:eastAsiaTheme="minorEastAsia"/>
          <w:color w:val="auto"/>
          <w:lang w:eastAsia="zh-CN"/>
        </w:rPr>
      </w:pPr>
    </w:p>
    <w:p w14:paraId="38D729B6">
      <w:pPr>
        <w:spacing w:line="360" w:lineRule="auto"/>
        <w:ind w:firstLine="562" w:firstLineChars="200"/>
        <w:jc w:val="center"/>
        <w:outlineLvl w:val="2"/>
        <w:rPr>
          <w:rFonts w:ascii="黑体" w:hAnsi="黑体" w:eastAsia="黑体" w:cs="黑体"/>
          <w:b/>
          <w:color w:val="000000"/>
          <w:kern w:val="0"/>
          <w:sz w:val="28"/>
          <w:szCs w:val="28"/>
        </w:rPr>
      </w:pPr>
      <w:bookmarkStart w:id="34" w:name="_Toc183264346"/>
      <w:bookmarkStart w:id="35" w:name="_Toc346617347"/>
      <w:bookmarkStart w:id="36" w:name="_Toc389658243"/>
      <w:bookmarkStart w:id="37" w:name="_Toc29177"/>
      <w:r>
        <w:rPr>
          <w:rFonts w:hint="eastAsia" w:ascii="黑体" w:hAnsi="黑体" w:eastAsia="黑体" w:cs="黑体"/>
          <w:b/>
          <w:color w:val="000000"/>
          <w:kern w:val="0"/>
          <w:sz w:val="28"/>
          <w:szCs w:val="28"/>
        </w:rPr>
        <w:t>二、法定代表人授权委托书</w:t>
      </w:r>
      <w:bookmarkEnd w:id="34"/>
      <w:bookmarkEnd w:id="35"/>
      <w:bookmarkEnd w:id="36"/>
      <w:bookmarkEnd w:id="37"/>
    </w:p>
    <w:p w14:paraId="1EEFFB13">
      <w:pPr>
        <w:pStyle w:val="10"/>
        <w:rPr>
          <w:rFonts w:hAnsi="宋体"/>
          <w:color w:val="auto"/>
          <w:lang w:eastAsia="zh-CN"/>
        </w:rPr>
      </w:pPr>
    </w:p>
    <w:p w14:paraId="4B73D518">
      <w:pPr>
        <w:pStyle w:val="10"/>
        <w:spacing w:line="360" w:lineRule="auto"/>
        <w:ind w:firstLine="480"/>
        <w:rPr>
          <w:rFonts w:asciiTheme="majorEastAsia" w:hAnsiTheme="majorEastAsia" w:eastAsiaTheme="majorEastAsia"/>
          <w:color w:val="auto"/>
          <w:sz w:val="28"/>
          <w:szCs w:val="28"/>
          <w:lang w:eastAsia="zh-CN"/>
        </w:rPr>
      </w:pPr>
      <w:r>
        <w:rPr>
          <w:rFonts w:hint="eastAsia" w:asciiTheme="majorEastAsia" w:hAnsiTheme="majorEastAsia" w:eastAsiaTheme="majorEastAsia"/>
          <w:color w:val="auto"/>
          <w:sz w:val="28"/>
          <w:szCs w:val="28"/>
          <w:lang w:eastAsia="zh-CN"/>
        </w:rPr>
        <w:t>_____________________（供应商名称）法定代表人授权我单位_________（职务或职称）__________（姓名）为我单位本次谈判授权代理人，全权办理此次竞争性谈判采购项目__________________（项目编号：________________）的一切事宜。代理人在该项目活动中所签署的一切文件，我单位均予承认。</w:t>
      </w:r>
    </w:p>
    <w:p w14:paraId="304089D4">
      <w:pPr>
        <w:pStyle w:val="10"/>
        <w:spacing w:line="360" w:lineRule="auto"/>
        <w:ind w:firstLine="480"/>
        <w:rPr>
          <w:rFonts w:asciiTheme="majorEastAsia" w:hAnsiTheme="majorEastAsia" w:eastAsiaTheme="majorEastAsia"/>
          <w:color w:val="auto"/>
          <w:sz w:val="28"/>
          <w:szCs w:val="28"/>
          <w:lang w:eastAsia="zh-CN"/>
        </w:rPr>
      </w:pPr>
      <w:r>
        <w:rPr>
          <w:rFonts w:hint="eastAsia" w:asciiTheme="majorEastAsia" w:hAnsiTheme="majorEastAsia" w:eastAsiaTheme="majorEastAsia"/>
          <w:color w:val="auto"/>
          <w:sz w:val="28"/>
          <w:szCs w:val="28"/>
          <w:lang w:eastAsia="zh-CN"/>
        </w:rPr>
        <w:t>代理人无转委托权。</w:t>
      </w:r>
    </w:p>
    <w:p w14:paraId="436F14A9">
      <w:pPr>
        <w:pStyle w:val="10"/>
        <w:spacing w:line="360" w:lineRule="auto"/>
        <w:rPr>
          <w:rFonts w:asciiTheme="majorEastAsia" w:hAnsiTheme="majorEastAsia" w:eastAsiaTheme="majorEastAsia"/>
          <w:color w:val="auto"/>
          <w:sz w:val="28"/>
          <w:szCs w:val="28"/>
          <w:lang w:eastAsia="zh-CN"/>
        </w:rPr>
      </w:pPr>
    </w:p>
    <w:p w14:paraId="4916145D">
      <w:pPr>
        <w:pStyle w:val="10"/>
        <w:spacing w:line="360" w:lineRule="auto"/>
        <w:ind w:firstLine="480"/>
        <w:rPr>
          <w:rFonts w:asciiTheme="majorEastAsia" w:hAnsiTheme="majorEastAsia" w:eastAsiaTheme="majorEastAsia"/>
          <w:color w:val="auto"/>
          <w:sz w:val="28"/>
          <w:szCs w:val="28"/>
          <w:lang w:eastAsia="zh-CN"/>
        </w:rPr>
      </w:pPr>
      <w:r>
        <w:rPr>
          <w:rFonts w:hint="eastAsia" w:asciiTheme="majorEastAsia" w:hAnsiTheme="majorEastAsia" w:eastAsiaTheme="majorEastAsia"/>
          <w:color w:val="auto"/>
          <w:sz w:val="28"/>
          <w:szCs w:val="28"/>
          <w:lang w:eastAsia="zh-CN"/>
        </w:rPr>
        <w:t>特此授权。</w:t>
      </w:r>
    </w:p>
    <w:p w14:paraId="40506C7C">
      <w:pPr>
        <w:pStyle w:val="10"/>
        <w:spacing w:line="360" w:lineRule="auto"/>
        <w:rPr>
          <w:rFonts w:asciiTheme="majorEastAsia" w:hAnsiTheme="majorEastAsia" w:eastAsiaTheme="majorEastAsia"/>
          <w:color w:val="auto"/>
          <w:sz w:val="28"/>
          <w:szCs w:val="28"/>
          <w:lang w:eastAsia="zh-CN"/>
        </w:rPr>
      </w:pPr>
    </w:p>
    <w:p w14:paraId="6DC5D5CF">
      <w:pPr>
        <w:pStyle w:val="10"/>
        <w:spacing w:line="360" w:lineRule="auto"/>
        <w:rPr>
          <w:rFonts w:asciiTheme="majorEastAsia" w:hAnsiTheme="majorEastAsia" w:eastAsiaTheme="majorEastAsia"/>
          <w:color w:val="auto"/>
          <w:sz w:val="28"/>
          <w:szCs w:val="28"/>
          <w:lang w:eastAsia="zh-CN"/>
        </w:rPr>
      </w:pPr>
    </w:p>
    <w:p w14:paraId="4D0D4A0F">
      <w:pPr>
        <w:pStyle w:val="10"/>
        <w:spacing w:line="360" w:lineRule="auto"/>
        <w:rPr>
          <w:rFonts w:asciiTheme="majorEastAsia" w:hAnsiTheme="majorEastAsia" w:eastAsiaTheme="majorEastAsia"/>
          <w:color w:val="auto"/>
          <w:sz w:val="28"/>
          <w:szCs w:val="28"/>
          <w:lang w:eastAsia="zh-CN"/>
        </w:rPr>
      </w:pPr>
    </w:p>
    <w:p w14:paraId="6A017CDE">
      <w:pPr>
        <w:pStyle w:val="10"/>
        <w:spacing w:line="360" w:lineRule="auto"/>
        <w:rPr>
          <w:rFonts w:asciiTheme="majorEastAsia" w:hAnsiTheme="majorEastAsia" w:eastAsiaTheme="majorEastAsia"/>
          <w:color w:val="auto"/>
          <w:sz w:val="28"/>
          <w:szCs w:val="28"/>
          <w:lang w:eastAsia="zh-CN"/>
        </w:rPr>
      </w:pPr>
      <w:r>
        <w:rPr>
          <w:rFonts w:hint="eastAsia" w:asciiTheme="majorEastAsia" w:hAnsiTheme="majorEastAsia" w:eastAsiaTheme="majorEastAsia"/>
          <w:color w:val="auto"/>
          <w:sz w:val="28"/>
          <w:szCs w:val="28"/>
          <w:lang w:eastAsia="zh-CN"/>
        </w:rPr>
        <w:t>（附授权代理人身份证明复印件）</w:t>
      </w:r>
    </w:p>
    <w:p w14:paraId="3E9982D5">
      <w:pPr>
        <w:pStyle w:val="10"/>
        <w:spacing w:line="360" w:lineRule="auto"/>
        <w:rPr>
          <w:rFonts w:asciiTheme="majorEastAsia" w:hAnsiTheme="majorEastAsia" w:eastAsiaTheme="majorEastAsia"/>
          <w:color w:val="auto"/>
          <w:sz w:val="28"/>
          <w:szCs w:val="28"/>
          <w:lang w:eastAsia="zh-CN"/>
        </w:rPr>
      </w:pPr>
    </w:p>
    <w:p w14:paraId="638FE797">
      <w:pPr>
        <w:pStyle w:val="10"/>
        <w:spacing w:line="360" w:lineRule="auto"/>
        <w:rPr>
          <w:rFonts w:asciiTheme="majorEastAsia" w:hAnsiTheme="majorEastAsia" w:eastAsiaTheme="majorEastAsia"/>
          <w:color w:val="auto"/>
          <w:sz w:val="28"/>
          <w:szCs w:val="28"/>
          <w:lang w:eastAsia="zh-CN"/>
        </w:rPr>
      </w:pPr>
    </w:p>
    <w:p w14:paraId="3C527A51">
      <w:pPr>
        <w:pStyle w:val="10"/>
        <w:spacing w:line="360" w:lineRule="auto"/>
        <w:rPr>
          <w:rFonts w:asciiTheme="majorEastAsia" w:hAnsiTheme="majorEastAsia" w:eastAsiaTheme="majorEastAsia"/>
          <w:color w:val="auto"/>
          <w:sz w:val="28"/>
          <w:szCs w:val="28"/>
          <w:lang w:eastAsia="zh-CN"/>
        </w:rPr>
      </w:pPr>
    </w:p>
    <w:p w14:paraId="4AFD4B07">
      <w:pPr>
        <w:pStyle w:val="10"/>
        <w:spacing w:line="360" w:lineRule="auto"/>
        <w:rPr>
          <w:rFonts w:asciiTheme="majorEastAsia" w:hAnsiTheme="majorEastAsia" w:eastAsiaTheme="majorEastAsia"/>
          <w:color w:val="auto"/>
          <w:sz w:val="28"/>
          <w:szCs w:val="28"/>
          <w:lang w:eastAsia="zh-CN"/>
        </w:rPr>
      </w:pPr>
      <w:r>
        <w:rPr>
          <w:rFonts w:hint="eastAsia" w:asciiTheme="majorEastAsia" w:hAnsiTheme="majorEastAsia" w:eastAsiaTheme="majorEastAsia"/>
          <w:color w:val="auto"/>
          <w:sz w:val="28"/>
          <w:szCs w:val="28"/>
          <w:lang w:eastAsia="zh-CN"/>
        </w:rPr>
        <w:t>授权单位（公章）：</w:t>
      </w:r>
    </w:p>
    <w:p w14:paraId="1011D665">
      <w:pPr>
        <w:pStyle w:val="10"/>
        <w:spacing w:line="360" w:lineRule="auto"/>
        <w:rPr>
          <w:rFonts w:asciiTheme="majorEastAsia" w:hAnsiTheme="majorEastAsia" w:eastAsiaTheme="majorEastAsia"/>
          <w:color w:val="auto"/>
          <w:sz w:val="28"/>
          <w:szCs w:val="28"/>
          <w:lang w:eastAsia="zh-CN"/>
        </w:rPr>
      </w:pPr>
    </w:p>
    <w:p w14:paraId="2F74C63A">
      <w:pPr>
        <w:pStyle w:val="10"/>
        <w:spacing w:line="360" w:lineRule="auto"/>
        <w:rPr>
          <w:rFonts w:asciiTheme="majorEastAsia" w:hAnsiTheme="majorEastAsia" w:eastAsiaTheme="majorEastAsia"/>
          <w:color w:val="auto"/>
          <w:sz w:val="28"/>
          <w:szCs w:val="28"/>
          <w:lang w:eastAsia="zh-CN"/>
        </w:rPr>
      </w:pPr>
      <w:r>
        <w:rPr>
          <w:rFonts w:hint="eastAsia" w:asciiTheme="majorEastAsia" w:hAnsiTheme="majorEastAsia" w:eastAsiaTheme="majorEastAsia"/>
          <w:color w:val="auto"/>
          <w:sz w:val="28"/>
          <w:szCs w:val="28"/>
          <w:lang w:eastAsia="zh-CN"/>
        </w:rPr>
        <w:t>法定代表人（签字）：</w:t>
      </w:r>
    </w:p>
    <w:p w14:paraId="03E36CD4">
      <w:pPr>
        <w:spacing w:line="360" w:lineRule="auto"/>
        <w:rPr>
          <w:rFonts w:asciiTheme="majorEastAsia" w:hAnsiTheme="majorEastAsia" w:eastAsiaTheme="majorEastAsia"/>
          <w:sz w:val="28"/>
          <w:szCs w:val="28"/>
        </w:rPr>
      </w:pPr>
    </w:p>
    <w:p w14:paraId="4CAC8769">
      <w:pPr>
        <w:spacing w:line="360" w:lineRule="auto"/>
        <w:rPr>
          <w:rFonts w:ascii="宋体" w:hAnsi="宋体"/>
          <w:sz w:val="24"/>
        </w:rPr>
      </w:pPr>
    </w:p>
    <w:p w14:paraId="508F4285">
      <w:pPr>
        <w:spacing w:line="360" w:lineRule="auto"/>
        <w:ind w:left="796" w:leftChars="379" w:firstLine="6000" w:firstLineChars="2500"/>
        <w:rPr>
          <w:rFonts w:ascii="宋体" w:hAnsi="宋体"/>
          <w:sz w:val="24"/>
        </w:rPr>
      </w:pPr>
    </w:p>
    <w:p w14:paraId="32C3821C">
      <w:pPr>
        <w:spacing w:line="360" w:lineRule="auto"/>
        <w:ind w:left="796" w:leftChars="379"/>
        <w:jc w:val="right"/>
        <w:rPr>
          <w:rFonts w:ascii="宋体" w:hAnsi="宋体"/>
          <w:sz w:val="24"/>
        </w:rPr>
      </w:pPr>
      <w:r>
        <w:rPr>
          <w:rFonts w:hint="eastAsia" w:ascii="宋体" w:hAnsi="宋体"/>
          <w:sz w:val="24"/>
        </w:rPr>
        <w:t>年    月     日</w:t>
      </w:r>
    </w:p>
    <w:p w14:paraId="3C61B6F2">
      <w:pPr>
        <w:pStyle w:val="23"/>
        <w:spacing w:line="360" w:lineRule="auto"/>
        <w:jc w:val="both"/>
        <w:rPr>
          <w:rFonts w:ascii="宋体" w:hAnsi="宋体" w:eastAsia="宋体"/>
        </w:rPr>
      </w:pPr>
      <w:bookmarkStart w:id="38" w:name="_Toc389658245"/>
      <w:bookmarkStart w:id="39" w:name="_Toc346617349"/>
    </w:p>
    <w:p w14:paraId="5FC4F6E7">
      <w:pPr>
        <w:pStyle w:val="23"/>
        <w:spacing w:line="360" w:lineRule="auto"/>
        <w:jc w:val="both"/>
        <w:rPr>
          <w:rFonts w:ascii="宋体" w:hAnsi="宋体" w:eastAsia="宋体"/>
        </w:rPr>
      </w:pPr>
    </w:p>
    <w:p w14:paraId="5A1C72E8">
      <w:pPr>
        <w:spacing w:line="360" w:lineRule="auto"/>
        <w:ind w:firstLine="562" w:firstLineChars="200"/>
        <w:jc w:val="center"/>
        <w:outlineLvl w:val="2"/>
        <w:rPr>
          <w:rFonts w:ascii="黑体" w:hAnsi="黑体" w:eastAsia="黑体" w:cs="黑体"/>
          <w:b/>
          <w:color w:val="000000"/>
          <w:kern w:val="0"/>
          <w:sz w:val="28"/>
          <w:szCs w:val="28"/>
        </w:rPr>
      </w:pPr>
      <w:bookmarkStart w:id="40" w:name="_Toc6870"/>
      <w:r>
        <w:rPr>
          <w:rFonts w:hint="eastAsia" w:ascii="黑体" w:hAnsi="黑体" w:eastAsia="黑体" w:cs="黑体"/>
          <w:b/>
          <w:color w:val="000000"/>
          <w:kern w:val="0"/>
          <w:sz w:val="28"/>
          <w:szCs w:val="28"/>
        </w:rPr>
        <w:t>三、报价一览表</w:t>
      </w:r>
      <w:bookmarkEnd w:id="38"/>
      <w:bookmarkEnd w:id="39"/>
      <w:bookmarkEnd w:id="40"/>
    </w:p>
    <w:p w14:paraId="1D1B28B8">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u w:val="single"/>
        </w:rPr>
      </w:pPr>
      <w:r>
        <w:rPr>
          <w:rFonts w:hint="eastAsia" w:ascii="宋体" w:hAnsi="宋体"/>
          <w:sz w:val="24"/>
        </w:rPr>
        <w:t>项目编号：</w:t>
      </w:r>
    </w:p>
    <w:p w14:paraId="26C7F98C">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u w:val="single"/>
        </w:rPr>
      </w:pPr>
      <w:r>
        <w:rPr>
          <w:rFonts w:hint="eastAsia" w:ascii="宋体" w:hAnsi="宋体"/>
          <w:sz w:val="24"/>
        </w:rPr>
        <w:t>项目名称：</w:t>
      </w:r>
    </w:p>
    <w:p w14:paraId="09CD2D1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hint="eastAsia" w:ascii="宋体" w:hAnsi="宋体"/>
          <w:sz w:val="24"/>
        </w:rPr>
        <w:t>供应商名称--（盖章）：</w:t>
      </w:r>
    </w:p>
    <w:p w14:paraId="71B4DEA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u w:val="single"/>
        </w:rPr>
      </w:pPr>
      <w:r>
        <w:rPr>
          <w:rFonts w:hint="eastAsia" w:ascii="宋体" w:hAnsi="宋体"/>
          <w:sz w:val="24"/>
        </w:rPr>
        <w:t>法定代表人或其授权代表签字：</w:t>
      </w:r>
    </w:p>
    <w:p w14:paraId="6D143D8C">
      <w:pPr>
        <w:tabs>
          <w:tab w:val="left" w:pos="0"/>
          <w:tab w:val="left" w:pos="720"/>
          <w:tab w:val="left" w:pos="1440"/>
          <w:tab w:val="left" w:pos="2160"/>
          <w:tab w:val="left" w:pos="2880"/>
          <w:tab w:val="left" w:pos="3600"/>
          <w:tab w:val="left" w:pos="4320"/>
        </w:tabs>
        <w:autoSpaceDE w:val="0"/>
        <w:autoSpaceDN w:val="0"/>
        <w:adjustRightInd w:val="0"/>
        <w:spacing w:line="360" w:lineRule="auto"/>
        <w:ind w:left="7440" w:hanging="7440" w:hangingChars="3100"/>
        <w:jc w:val="right"/>
        <w:rPr>
          <w:rFonts w:ascii="宋体" w:hAnsi="宋体"/>
          <w:sz w:val="24"/>
        </w:rPr>
      </w:pPr>
      <w:r>
        <w:rPr>
          <w:rFonts w:hint="eastAsia" w:ascii="宋体" w:hAnsi="宋体"/>
          <w:sz w:val="24"/>
        </w:rPr>
        <w:t xml:space="preserve"> 单位：元</w:t>
      </w:r>
    </w:p>
    <w:tbl>
      <w:tblPr>
        <w:tblStyle w:val="17"/>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992"/>
        <w:gridCol w:w="1442"/>
        <w:gridCol w:w="3405"/>
      </w:tblGrid>
      <w:tr w14:paraId="5CE4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1696" w:type="dxa"/>
            <w:vMerge w:val="restart"/>
            <w:vAlign w:val="center"/>
          </w:tcPr>
          <w:p w14:paraId="268C06EE">
            <w:pPr>
              <w:spacing w:line="360" w:lineRule="auto"/>
              <w:jc w:val="center"/>
              <w:rPr>
                <w:rFonts w:ascii="宋体" w:hAnsi="宋体"/>
                <w:bCs/>
                <w:sz w:val="24"/>
              </w:rPr>
            </w:pPr>
            <w:r>
              <w:rPr>
                <w:rFonts w:hint="eastAsia" w:ascii="宋体" w:hAnsi="宋体"/>
                <w:bCs/>
                <w:sz w:val="24"/>
              </w:rPr>
              <w:t>谈判前</w:t>
            </w:r>
          </w:p>
          <w:p w14:paraId="66D8ED42">
            <w:pPr>
              <w:spacing w:line="360" w:lineRule="auto"/>
              <w:jc w:val="center"/>
              <w:rPr>
                <w:rFonts w:ascii="宋体" w:hAnsi="宋体"/>
                <w:bCs/>
                <w:sz w:val="24"/>
              </w:rPr>
            </w:pPr>
            <w:r>
              <w:rPr>
                <w:rFonts w:hint="eastAsia" w:ascii="宋体" w:hAnsi="宋体"/>
                <w:bCs/>
                <w:sz w:val="24"/>
              </w:rPr>
              <w:t>基础报价</w:t>
            </w:r>
          </w:p>
        </w:tc>
        <w:tc>
          <w:tcPr>
            <w:tcW w:w="7839" w:type="dxa"/>
            <w:gridSpan w:val="3"/>
            <w:vAlign w:val="center"/>
          </w:tcPr>
          <w:p w14:paraId="6DA7CA88">
            <w:pPr>
              <w:spacing w:line="360" w:lineRule="auto"/>
              <w:rPr>
                <w:rFonts w:ascii="宋体" w:hAnsi="宋体"/>
                <w:bCs/>
                <w:sz w:val="24"/>
              </w:rPr>
            </w:pPr>
            <w:r>
              <w:rPr>
                <w:rFonts w:hint="eastAsia" w:ascii="宋体" w:hAnsi="宋体"/>
                <w:bCs/>
                <w:sz w:val="24"/>
              </w:rPr>
              <w:t>大写：</w:t>
            </w:r>
          </w:p>
        </w:tc>
      </w:tr>
      <w:tr w14:paraId="3314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1696" w:type="dxa"/>
            <w:vMerge w:val="continue"/>
            <w:vAlign w:val="center"/>
          </w:tcPr>
          <w:p w14:paraId="55B0BDAD">
            <w:pPr>
              <w:spacing w:line="360" w:lineRule="auto"/>
              <w:jc w:val="center"/>
              <w:rPr>
                <w:rFonts w:ascii="宋体" w:hAnsi="宋体"/>
                <w:bCs/>
                <w:sz w:val="24"/>
              </w:rPr>
            </w:pPr>
          </w:p>
        </w:tc>
        <w:tc>
          <w:tcPr>
            <w:tcW w:w="7839" w:type="dxa"/>
            <w:gridSpan w:val="3"/>
            <w:vAlign w:val="center"/>
          </w:tcPr>
          <w:p w14:paraId="1F093CBD">
            <w:pPr>
              <w:spacing w:line="360" w:lineRule="auto"/>
              <w:rPr>
                <w:rFonts w:ascii="宋体" w:hAnsi="宋体"/>
                <w:bCs/>
                <w:sz w:val="24"/>
              </w:rPr>
            </w:pPr>
            <w:r>
              <w:rPr>
                <w:rFonts w:hint="eastAsia" w:ascii="宋体" w:hAnsi="宋体"/>
                <w:bCs/>
                <w:sz w:val="24"/>
              </w:rPr>
              <w:t>小写：</w:t>
            </w:r>
          </w:p>
        </w:tc>
      </w:tr>
      <w:tr w14:paraId="561C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696" w:type="dxa"/>
            <w:vAlign w:val="center"/>
          </w:tcPr>
          <w:p w14:paraId="0E03858F">
            <w:pPr>
              <w:spacing w:line="360" w:lineRule="auto"/>
              <w:jc w:val="center"/>
              <w:rPr>
                <w:rFonts w:ascii="宋体" w:hAnsi="宋体"/>
                <w:sz w:val="24"/>
              </w:rPr>
            </w:pPr>
            <w:r>
              <w:rPr>
                <w:rFonts w:hint="eastAsia" w:ascii="宋体" w:hAnsi="宋体"/>
                <w:sz w:val="24"/>
              </w:rPr>
              <w:t>质量标准</w:t>
            </w:r>
          </w:p>
        </w:tc>
        <w:tc>
          <w:tcPr>
            <w:tcW w:w="7839" w:type="dxa"/>
            <w:gridSpan w:val="3"/>
          </w:tcPr>
          <w:p w14:paraId="2FD286B8">
            <w:pPr>
              <w:spacing w:line="360" w:lineRule="auto"/>
              <w:rPr>
                <w:rFonts w:ascii="宋体" w:hAnsi="宋体"/>
                <w:sz w:val="24"/>
              </w:rPr>
            </w:pPr>
          </w:p>
        </w:tc>
      </w:tr>
      <w:tr w14:paraId="4211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1696" w:type="dxa"/>
            <w:vAlign w:val="center"/>
          </w:tcPr>
          <w:p w14:paraId="74680219">
            <w:pPr>
              <w:spacing w:line="360" w:lineRule="auto"/>
              <w:jc w:val="center"/>
              <w:rPr>
                <w:rFonts w:ascii="宋体" w:hAnsi="宋体"/>
                <w:sz w:val="24"/>
              </w:rPr>
            </w:pPr>
            <w:r>
              <w:rPr>
                <w:rFonts w:hint="eastAsia" w:ascii="宋体" w:hAnsi="宋体"/>
                <w:sz w:val="24"/>
              </w:rPr>
              <w:t>承诺工期</w:t>
            </w:r>
          </w:p>
        </w:tc>
        <w:tc>
          <w:tcPr>
            <w:tcW w:w="7839" w:type="dxa"/>
            <w:gridSpan w:val="3"/>
            <w:vAlign w:val="center"/>
          </w:tcPr>
          <w:p w14:paraId="2E094B8D">
            <w:pPr>
              <w:spacing w:line="360" w:lineRule="auto"/>
              <w:rPr>
                <w:rFonts w:ascii="宋体" w:hAnsi="宋体"/>
                <w:sz w:val="24"/>
              </w:rPr>
            </w:pPr>
          </w:p>
        </w:tc>
      </w:tr>
      <w:tr w14:paraId="5FBB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96" w:type="dxa"/>
            <w:vAlign w:val="center"/>
          </w:tcPr>
          <w:p w14:paraId="40A334FF">
            <w:pPr>
              <w:spacing w:line="360" w:lineRule="auto"/>
              <w:jc w:val="center"/>
              <w:rPr>
                <w:rFonts w:ascii="宋体" w:hAnsi="宋体"/>
                <w:sz w:val="24"/>
              </w:rPr>
            </w:pPr>
            <w:r>
              <w:rPr>
                <w:rFonts w:hint="eastAsia" w:ascii="宋体" w:hAnsi="宋体"/>
                <w:sz w:val="24"/>
              </w:rPr>
              <w:t>质 保 期</w:t>
            </w:r>
          </w:p>
        </w:tc>
        <w:tc>
          <w:tcPr>
            <w:tcW w:w="7839" w:type="dxa"/>
            <w:gridSpan w:val="3"/>
            <w:vAlign w:val="center"/>
          </w:tcPr>
          <w:p w14:paraId="22B4E637">
            <w:pPr>
              <w:spacing w:line="360" w:lineRule="auto"/>
              <w:jc w:val="center"/>
              <w:rPr>
                <w:rFonts w:ascii="宋体" w:hAnsi="宋体"/>
                <w:sz w:val="24"/>
              </w:rPr>
            </w:pPr>
          </w:p>
        </w:tc>
      </w:tr>
      <w:tr w14:paraId="3976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96" w:type="dxa"/>
            <w:vAlign w:val="center"/>
          </w:tcPr>
          <w:p w14:paraId="6782B12D">
            <w:pPr>
              <w:spacing w:line="360" w:lineRule="auto"/>
              <w:jc w:val="center"/>
              <w:rPr>
                <w:rFonts w:ascii="宋体" w:hAnsi="宋体"/>
                <w:sz w:val="24"/>
              </w:rPr>
            </w:pPr>
            <w:r>
              <w:rPr>
                <w:rFonts w:hint="eastAsia" w:ascii="宋体" w:hAnsi="宋体"/>
                <w:sz w:val="24"/>
              </w:rPr>
              <w:t>项目经理</w:t>
            </w:r>
          </w:p>
          <w:p w14:paraId="1371EC07">
            <w:pPr>
              <w:spacing w:line="360" w:lineRule="auto"/>
              <w:jc w:val="center"/>
              <w:rPr>
                <w:rFonts w:ascii="宋体" w:hAnsi="宋体"/>
                <w:sz w:val="24"/>
              </w:rPr>
            </w:pPr>
            <w:r>
              <w:rPr>
                <w:rFonts w:hint="eastAsia" w:ascii="宋体" w:hAnsi="宋体"/>
                <w:sz w:val="24"/>
              </w:rPr>
              <w:t>（建造师）</w:t>
            </w:r>
          </w:p>
        </w:tc>
        <w:tc>
          <w:tcPr>
            <w:tcW w:w="2992" w:type="dxa"/>
            <w:vAlign w:val="center"/>
          </w:tcPr>
          <w:p w14:paraId="3A078C53">
            <w:pPr>
              <w:spacing w:line="360" w:lineRule="auto"/>
              <w:rPr>
                <w:rFonts w:ascii="宋体" w:hAnsi="宋体"/>
                <w:sz w:val="24"/>
              </w:rPr>
            </w:pPr>
          </w:p>
        </w:tc>
        <w:tc>
          <w:tcPr>
            <w:tcW w:w="1442" w:type="dxa"/>
            <w:vAlign w:val="center"/>
          </w:tcPr>
          <w:p w14:paraId="6957CFF4">
            <w:pPr>
              <w:spacing w:line="360" w:lineRule="auto"/>
              <w:jc w:val="center"/>
              <w:rPr>
                <w:rFonts w:ascii="宋体" w:hAnsi="宋体"/>
                <w:sz w:val="24"/>
              </w:rPr>
            </w:pPr>
            <w:r>
              <w:rPr>
                <w:rFonts w:hint="eastAsia" w:ascii="宋体" w:hAnsi="宋体"/>
                <w:sz w:val="24"/>
              </w:rPr>
              <w:t>级别及编号</w:t>
            </w:r>
          </w:p>
        </w:tc>
        <w:tc>
          <w:tcPr>
            <w:tcW w:w="3405" w:type="dxa"/>
            <w:vAlign w:val="center"/>
          </w:tcPr>
          <w:p w14:paraId="1EB11B30">
            <w:pPr>
              <w:spacing w:line="360" w:lineRule="auto"/>
              <w:rPr>
                <w:rFonts w:ascii="宋体" w:hAnsi="宋体"/>
                <w:sz w:val="24"/>
              </w:rPr>
            </w:pPr>
          </w:p>
        </w:tc>
      </w:tr>
      <w:tr w14:paraId="5B4D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696" w:type="dxa"/>
            <w:tcBorders>
              <w:bottom w:val="single" w:color="auto" w:sz="4" w:space="0"/>
            </w:tcBorders>
            <w:vAlign w:val="center"/>
          </w:tcPr>
          <w:p w14:paraId="7AE3CD0A">
            <w:pPr>
              <w:spacing w:line="360" w:lineRule="auto"/>
              <w:jc w:val="center"/>
              <w:rPr>
                <w:rFonts w:ascii="宋体" w:hAnsi="宋体"/>
                <w:sz w:val="24"/>
              </w:rPr>
            </w:pPr>
            <w:r>
              <w:rPr>
                <w:rFonts w:hint="eastAsia" w:ascii="宋体" w:hAnsi="宋体"/>
                <w:sz w:val="24"/>
              </w:rPr>
              <w:t>对竞争性谈判文件及合同条款的认同程度</w:t>
            </w:r>
          </w:p>
        </w:tc>
        <w:tc>
          <w:tcPr>
            <w:tcW w:w="7839" w:type="dxa"/>
            <w:gridSpan w:val="3"/>
            <w:tcBorders>
              <w:bottom w:val="single" w:color="auto" w:sz="4" w:space="0"/>
            </w:tcBorders>
            <w:vAlign w:val="center"/>
          </w:tcPr>
          <w:p w14:paraId="50086B88">
            <w:pPr>
              <w:spacing w:line="360" w:lineRule="auto"/>
              <w:jc w:val="center"/>
              <w:rPr>
                <w:rFonts w:ascii="宋体" w:hAnsi="宋体"/>
                <w:sz w:val="24"/>
              </w:rPr>
            </w:pPr>
          </w:p>
        </w:tc>
      </w:tr>
      <w:tr w14:paraId="2B39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696" w:type="dxa"/>
            <w:tcBorders>
              <w:bottom w:val="single" w:color="auto" w:sz="4" w:space="0"/>
            </w:tcBorders>
            <w:vAlign w:val="center"/>
          </w:tcPr>
          <w:p w14:paraId="5827D91F">
            <w:pPr>
              <w:spacing w:line="360" w:lineRule="auto"/>
              <w:jc w:val="center"/>
              <w:rPr>
                <w:rFonts w:ascii="宋体" w:hAnsi="宋体"/>
                <w:sz w:val="24"/>
              </w:rPr>
            </w:pPr>
            <w:r>
              <w:rPr>
                <w:rFonts w:hint="eastAsia" w:ascii="宋体" w:hAnsi="宋体"/>
                <w:sz w:val="24"/>
              </w:rPr>
              <w:t>法定代表人或其授权代表现场签字确认</w:t>
            </w:r>
          </w:p>
        </w:tc>
        <w:tc>
          <w:tcPr>
            <w:tcW w:w="7839" w:type="dxa"/>
            <w:gridSpan w:val="3"/>
            <w:tcBorders>
              <w:bottom w:val="single" w:color="auto" w:sz="4" w:space="0"/>
            </w:tcBorders>
            <w:vAlign w:val="center"/>
          </w:tcPr>
          <w:p w14:paraId="7534C230">
            <w:pPr>
              <w:spacing w:line="360" w:lineRule="auto"/>
              <w:jc w:val="center"/>
              <w:rPr>
                <w:rFonts w:ascii="宋体" w:hAnsi="宋体"/>
                <w:sz w:val="24"/>
              </w:rPr>
            </w:pPr>
          </w:p>
        </w:tc>
      </w:tr>
      <w:tr w14:paraId="5F1E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35" w:type="dxa"/>
            <w:gridSpan w:val="4"/>
            <w:tcBorders>
              <w:bottom w:val="single" w:color="auto" w:sz="4" w:space="0"/>
            </w:tcBorders>
            <w:vAlign w:val="center"/>
          </w:tcPr>
          <w:p w14:paraId="38B03268">
            <w:pPr>
              <w:spacing w:line="360" w:lineRule="auto"/>
              <w:rPr>
                <w:rFonts w:ascii="宋体" w:hAnsi="宋体"/>
                <w:sz w:val="24"/>
              </w:rPr>
            </w:pPr>
            <w:r>
              <w:rPr>
                <w:rFonts w:hint="eastAsia" w:ascii="宋体" w:hAnsi="宋体"/>
                <w:sz w:val="24"/>
              </w:rPr>
              <w:t>此报价一览表内容尽量充实,但不要加附页，一式三份，单独密封（与报价文件同时递交）。</w:t>
            </w:r>
          </w:p>
        </w:tc>
      </w:tr>
    </w:tbl>
    <w:p w14:paraId="74F7F5D1">
      <w:pPr>
        <w:spacing w:line="360" w:lineRule="auto"/>
        <w:ind w:right="480" w:firstLine="6480" w:firstLineChars="2700"/>
        <w:rPr>
          <w:rFonts w:ascii="宋体" w:hAnsi="宋体"/>
          <w:sz w:val="24"/>
        </w:rPr>
      </w:pPr>
      <w:r>
        <w:rPr>
          <w:rFonts w:hint="eastAsia" w:ascii="宋体" w:hAnsi="宋体"/>
          <w:sz w:val="24"/>
        </w:rPr>
        <w:t>年   月  日</w:t>
      </w:r>
    </w:p>
    <w:p w14:paraId="4674F40C">
      <w:pPr>
        <w:pStyle w:val="23"/>
        <w:spacing w:line="360" w:lineRule="auto"/>
        <w:jc w:val="both"/>
        <w:rPr>
          <w:rFonts w:asciiTheme="minorEastAsia" w:hAnsiTheme="minorEastAsia" w:eastAsiaTheme="minorEastAsia" w:cstheme="minorBidi"/>
          <w:spacing w:val="0"/>
          <w:kern w:val="2"/>
          <w:sz w:val="36"/>
          <w:szCs w:val="36"/>
        </w:rPr>
      </w:pPr>
    </w:p>
    <w:p w14:paraId="78B79D3E">
      <w:pPr>
        <w:pStyle w:val="23"/>
        <w:spacing w:line="360" w:lineRule="auto"/>
        <w:jc w:val="both"/>
        <w:rPr>
          <w:rFonts w:asciiTheme="minorEastAsia" w:hAnsiTheme="minorEastAsia" w:eastAsiaTheme="minorEastAsia" w:cstheme="minorBidi"/>
          <w:spacing w:val="0"/>
          <w:kern w:val="2"/>
          <w:sz w:val="36"/>
          <w:szCs w:val="36"/>
        </w:rPr>
      </w:pPr>
    </w:p>
    <w:p w14:paraId="659A7664">
      <w:pPr>
        <w:spacing w:line="360" w:lineRule="auto"/>
        <w:ind w:firstLine="562" w:firstLineChars="200"/>
        <w:jc w:val="center"/>
        <w:outlineLvl w:val="2"/>
        <w:rPr>
          <w:rFonts w:ascii="黑体" w:hAnsi="黑体" w:eastAsia="黑体" w:cs="黑体"/>
          <w:b/>
          <w:color w:val="000000"/>
          <w:kern w:val="0"/>
          <w:sz w:val="28"/>
          <w:szCs w:val="28"/>
        </w:rPr>
      </w:pPr>
      <w:bookmarkStart w:id="41" w:name="_Toc15698"/>
      <w:r>
        <w:rPr>
          <w:rFonts w:hint="eastAsia" w:ascii="黑体" w:hAnsi="黑体" w:eastAsia="黑体" w:cs="黑体"/>
          <w:b/>
          <w:color w:val="000000"/>
          <w:kern w:val="0"/>
          <w:sz w:val="28"/>
          <w:szCs w:val="28"/>
        </w:rPr>
        <w:t>四、商务及技术方案部分报价人自行设计</w:t>
      </w:r>
      <w:bookmarkEnd w:id="4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A3FE">
    <w:pPr>
      <w:pStyle w:val="13"/>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EBF019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CC0B3">
    <w:pPr>
      <w:pStyle w:val="13"/>
      <w:framePr w:wrap="around" w:vAnchor="text" w:hAnchor="margin" w:xAlign="center" w:y="1"/>
      <w:rPr>
        <w:rStyle w:val="19"/>
      </w:rPr>
    </w:pPr>
    <w:r>
      <w:fldChar w:fldCharType="begin"/>
    </w:r>
    <w:r>
      <w:rPr>
        <w:rStyle w:val="19"/>
      </w:rPr>
      <w:instrText xml:space="preserve">PAGE  </w:instrText>
    </w:r>
    <w:r>
      <w:fldChar w:fldCharType="separate"/>
    </w:r>
    <w:r>
      <w:rPr>
        <w:rStyle w:val="19"/>
      </w:rPr>
      <w:t>26</w:t>
    </w:r>
    <w:r>
      <w:fldChar w:fldCharType="end"/>
    </w:r>
  </w:p>
  <w:p w14:paraId="1A4F691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19A22">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I4MWFiNzhlNjdjNGIyNmZmMWE2M2RmZWVhZGVjNmQifQ=="/>
  </w:docVars>
  <w:rsids>
    <w:rsidRoot w:val="00E83B65"/>
    <w:rsid w:val="00035844"/>
    <w:rsid w:val="00041D90"/>
    <w:rsid w:val="0004752F"/>
    <w:rsid w:val="00093CE0"/>
    <w:rsid w:val="000C2605"/>
    <w:rsid w:val="000F4356"/>
    <w:rsid w:val="000F45B9"/>
    <w:rsid w:val="00134C13"/>
    <w:rsid w:val="00143C87"/>
    <w:rsid w:val="001B100F"/>
    <w:rsid w:val="001D598D"/>
    <w:rsid w:val="0025458B"/>
    <w:rsid w:val="00291F4F"/>
    <w:rsid w:val="002A3489"/>
    <w:rsid w:val="003063D8"/>
    <w:rsid w:val="00321196"/>
    <w:rsid w:val="003660D0"/>
    <w:rsid w:val="00377170"/>
    <w:rsid w:val="0039779A"/>
    <w:rsid w:val="003A5C4B"/>
    <w:rsid w:val="00464D37"/>
    <w:rsid w:val="00465696"/>
    <w:rsid w:val="00482C99"/>
    <w:rsid w:val="004A41B1"/>
    <w:rsid w:val="00516A98"/>
    <w:rsid w:val="005A0335"/>
    <w:rsid w:val="00623CE4"/>
    <w:rsid w:val="00646155"/>
    <w:rsid w:val="00675295"/>
    <w:rsid w:val="006B4714"/>
    <w:rsid w:val="006B7C08"/>
    <w:rsid w:val="00742323"/>
    <w:rsid w:val="007908D5"/>
    <w:rsid w:val="007B5123"/>
    <w:rsid w:val="007E7FD0"/>
    <w:rsid w:val="00826FB6"/>
    <w:rsid w:val="00870AF8"/>
    <w:rsid w:val="00894B07"/>
    <w:rsid w:val="008C2EFB"/>
    <w:rsid w:val="008F5876"/>
    <w:rsid w:val="0092146C"/>
    <w:rsid w:val="009642A6"/>
    <w:rsid w:val="00981A6B"/>
    <w:rsid w:val="009861C9"/>
    <w:rsid w:val="00990808"/>
    <w:rsid w:val="00A2552B"/>
    <w:rsid w:val="00A674B1"/>
    <w:rsid w:val="00A821D5"/>
    <w:rsid w:val="00AA1F5C"/>
    <w:rsid w:val="00AE053F"/>
    <w:rsid w:val="00AE2B93"/>
    <w:rsid w:val="00B70B53"/>
    <w:rsid w:val="00B75A16"/>
    <w:rsid w:val="00B94D2D"/>
    <w:rsid w:val="00B95F98"/>
    <w:rsid w:val="00BF0D4D"/>
    <w:rsid w:val="00C33D85"/>
    <w:rsid w:val="00C41B0E"/>
    <w:rsid w:val="00CE66D4"/>
    <w:rsid w:val="00D25A2B"/>
    <w:rsid w:val="00D32B46"/>
    <w:rsid w:val="00D65B6E"/>
    <w:rsid w:val="00DE1DE8"/>
    <w:rsid w:val="00E83B65"/>
    <w:rsid w:val="00E92C81"/>
    <w:rsid w:val="00EA1CB0"/>
    <w:rsid w:val="00EB23B5"/>
    <w:rsid w:val="00F57A6A"/>
    <w:rsid w:val="00F95FDC"/>
    <w:rsid w:val="00FF2F70"/>
    <w:rsid w:val="016320EC"/>
    <w:rsid w:val="04245B63"/>
    <w:rsid w:val="04CD3E6A"/>
    <w:rsid w:val="0D7C0F42"/>
    <w:rsid w:val="0ECD5125"/>
    <w:rsid w:val="0F1B4006"/>
    <w:rsid w:val="10A2678D"/>
    <w:rsid w:val="128B3251"/>
    <w:rsid w:val="13F269BE"/>
    <w:rsid w:val="16C36E18"/>
    <w:rsid w:val="19B149ED"/>
    <w:rsid w:val="1B6E21B2"/>
    <w:rsid w:val="1D525097"/>
    <w:rsid w:val="2AA81CE4"/>
    <w:rsid w:val="2CCE481B"/>
    <w:rsid w:val="2D33647D"/>
    <w:rsid w:val="2FD84673"/>
    <w:rsid w:val="31F03FA3"/>
    <w:rsid w:val="323651A1"/>
    <w:rsid w:val="33995376"/>
    <w:rsid w:val="349C2ABF"/>
    <w:rsid w:val="34D0301A"/>
    <w:rsid w:val="36A94E03"/>
    <w:rsid w:val="383F6B1D"/>
    <w:rsid w:val="39203E05"/>
    <w:rsid w:val="3A241FAD"/>
    <w:rsid w:val="3B2F65C0"/>
    <w:rsid w:val="3C6637EC"/>
    <w:rsid w:val="3E6E464D"/>
    <w:rsid w:val="402F4B6E"/>
    <w:rsid w:val="42924806"/>
    <w:rsid w:val="43AD1D66"/>
    <w:rsid w:val="47546BD6"/>
    <w:rsid w:val="49D31C27"/>
    <w:rsid w:val="4CD30CAE"/>
    <w:rsid w:val="54520EFE"/>
    <w:rsid w:val="57411299"/>
    <w:rsid w:val="5B5437AD"/>
    <w:rsid w:val="67C51F90"/>
    <w:rsid w:val="6F6A3573"/>
    <w:rsid w:val="717B021D"/>
    <w:rsid w:val="71954F93"/>
    <w:rsid w:val="73C66DBA"/>
    <w:rsid w:val="75F75E5C"/>
    <w:rsid w:val="7A7430CC"/>
    <w:rsid w:val="7AC202DC"/>
    <w:rsid w:val="7C9A3183"/>
    <w:rsid w:val="7D290855"/>
    <w:rsid w:val="7F160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nhideWhenUsed="0" w:uiPriority="0" w:semiHidden="0" w:name="heading 6"/>
    <w:lsdException w:qFormat="1" w:uiPriority="9"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unhideWhenUsed/>
    <w:qFormat/>
    <w:uiPriority w:val="9"/>
    <w:pPr>
      <w:keepNext/>
      <w:keepLines/>
      <w:spacing w:line="413" w:lineRule="auto"/>
      <w:outlineLvl w:val="2"/>
    </w:pPr>
    <w:rPr>
      <w:b/>
      <w:sz w:val="32"/>
    </w:rPr>
  </w:style>
  <w:style w:type="paragraph" w:styleId="5">
    <w:name w:val="heading 4"/>
    <w:basedOn w:val="1"/>
    <w:next w:val="1"/>
    <w:unhideWhenUsed/>
    <w:qFormat/>
    <w:uiPriority w:val="9"/>
    <w:pPr>
      <w:keepNext/>
      <w:keepLines/>
      <w:spacing w:line="372" w:lineRule="auto"/>
      <w:outlineLvl w:val="3"/>
    </w:pPr>
    <w:rPr>
      <w:rFonts w:ascii="Arial" w:hAnsi="Arial" w:eastAsia="黑体"/>
      <w:b/>
      <w:sz w:val="28"/>
    </w:rPr>
  </w:style>
  <w:style w:type="paragraph" w:styleId="6">
    <w:name w:val="heading 6"/>
    <w:basedOn w:val="1"/>
    <w:next w:val="1"/>
    <w:link w:val="32"/>
    <w:qFormat/>
    <w:uiPriority w:val="0"/>
    <w:pPr>
      <w:keepNext/>
      <w:keepLines/>
      <w:spacing w:before="240" w:after="64" w:line="320" w:lineRule="auto"/>
      <w:outlineLvl w:val="5"/>
    </w:pPr>
    <w:rPr>
      <w:rFonts w:ascii="Arial" w:hAnsi="Arial" w:eastAsia="黑体" w:cs="Times New Roman"/>
      <w:b/>
      <w:bCs/>
      <w:sz w:val="24"/>
      <w:szCs w:val="24"/>
    </w:rPr>
  </w:style>
  <w:style w:type="paragraph" w:styleId="7">
    <w:name w:val="heading 8"/>
    <w:basedOn w:val="1"/>
    <w:next w:val="1"/>
    <w:link w:val="33"/>
    <w:qFormat/>
    <w:uiPriority w:val="0"/>
    <w:pPr>
      <w:keepNext/>
      <w:keepLines/>
      <w:spacing w:before="240" w:after="64" w:line="320" w:lineRule="auto"/>
      <w:outlineLvl w:val="7"/>
    </w:pPr>
    <w:rPr>
      <w:rFonts w:ascii="Arial" w:hAnsi="Arial" w:eastAsia="黑体" w:cs="Times New Roman"/>
      <w:sz w:val="24"/>
      <w:szCs w:val="24"/>
    </w:rPr>
  </w:style>
  <w:style w:type="paragraph" w:styleId="8">
    <w:name w:val="heading 9"/>
    <w:basedOn w:val="1"/>
    <w:next w:val="1"/>
    <w:link w:val="34"/>
    <w:qFormat/>
    <w:uiPriority w:val="0"/>
    <w:pPr>
      <w:keepNext/>
      <w:keepLines/>
      <w:spacing w:before="240" w:after="64" w:line="320" w:lineRule="auto"/>
      <w:outlineLvl w:val="8"/>
    </w:pPr>
    <w:rPr>
      <w:rFonts w:ascii="Arial" w:hAnsi="Arial" w:eastAsia="黑体" w:cs="Times New Roman"/>
      <w:szCs w:val="21"/>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pPr>
      <w:spacing w:line="360" w:lineRule="auto"/>
      <w:ind w:firstLine="480" w:firstLineChars="200"/>
      <w:jc w:val="left"/>
    </w:pPr>
    <w:rPr>
      <w:rFonts w:ascii="宋体" w:hAnsi="宋体" w:eastAsia="仿宋_GB2312" w:cs="Times New Roman"/>
      <w:snapToGrid w:val="0"/>
      <w:kern w:val="0"/>
      <w:sz w:val="24"/>
      <w:szCs w:val="21"/>
      <w:lang w:eastAsia="en-US"/>
    </w:rPr>
  </w:style>
  <w:style w:type="paragraph" w:styleId="10">
    <w:name w:val="Body Text"/>
    <w:basedOn w:val="1"/>
    <w:link w:val="22"/>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Balloon Text"/>
    <w:basedOn w:val="1"/>
    <w:link w:val="36"/>
    <w:semiHidden/>
    <w:unhideWhenUsed/>
    <w:qFormat/>
    <w:uiPriority w:val="99"/>
    <w:rPr>
      <w:sz w:val="18"/>
      <w:szCs w:val="18"/>
    </w:rPr>
  </w:style>
  <w:style w:type="paragraph" w:styleId="13">
    <w:name w:val="footer"/>
    <w:basedOn w:val="1"/>
    <w:link w:val="29"/>
    <w:unhideWhenUsed/>
    <w:qFormat/>
    <w:uiPriority w:val="0"/>
    <w:pPr>
      <w:tabs>
        <w:tab w:val="center" w:pos="4153"/>
        <w:tab w:val="right" w:pos="8306"/>
      </w:tabs>
      <w:snapToGrid w:val="0"/>
      <w:jc w:val="left"/>
    </w:pPr>
    <w:rPr>
      <w:sz w:val="18"/>
      <w:szCs w:val="18"/>
    </w:rPr>
  </w:style>
  <w:style w:type="paragraph" w:styleId="14">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character" w:styleId="19">
    <w:name w:val="page number"/>
    <w:basedOn w:val="18"/>
    <w:qFormat/>
    <w:uiPriority w:val="0"/>
  </w:style>
  <w:style w:type="character" w:styleId="20">
    <w:name w:val="Hyperlink"/>
    <w:qFormat/>
    <w:uiPriority w:val="99"/>
    <w:rPr>
      <w:color w:val="0000FF"/>
      <w:u w:val="single"/>
    </w:rPr>
  </w:style>
  <w:style w:type="paragraph" w:styleId="21">
    <w:name w:val="List Paragraph"/>
    <w:basedOn w:val="1"/>
    <w:qFormat/>
    <w:uiPriority w:val="34"/>
    <w:pPr>
      <w:ind w:firstLine="420" w:firstLineChars="200"/>
    </w:pPr>
  </w:style>
  <w:style w:type="character" w:customStyle="1" w:styleId="22">
    <w:name w:val="正文文本 Char"/>
    <w:basedOn w:val="18"/>
    <w:link w:val="10"/>
    <w:semiHidden/>
    <w:qFormat/>
    <w:uiPriority w:val="0"/>
    <w:rPr>
      <w:rFonts w:ascii="Arial" w:hAnsi="Arial" w:eastAsia="Arial" w:cs="Arial"/>
      <w:snapToGrid w:val="0"/>
      <w:color w:val="000000"/>
      <w:kern w:val="0"/>
      <w:szCs w:val="21"/>
      <w:lang w:eastAsia="en-US"/>
    </w:rPr>
  </w:style>
  <w:style w:type="paragraph" w:customStyle="1" w:styleId="23">
    <w:name w:val="样式3"/>
    <w:basedOn w:val="1"/>
    <w:qFormat/>
    <w:uiPriority w:val="0"/>
    <w:pPr>
      <w:widowControl/>
      <w:spacing w:line="480" w:lineRule="exact"/>
      <w:jc w:val="center"/>
    </w:pPr>
    <w:rPr>
      <w:rFonts w:ascii="Arial" w:hAnsi="Arial" w:eastAsia="黑体" w:cs="Times New Roman"/>
      <w:spacing w:val="6"/>
      <w:kern w:val="0"/>
      <w:sz w:val="32"/>
      <w:szCs w:val="20"/>
    </w:rPr>
  </w:style>
  <w:style w:type="paragraph" w:customStyle="1" w:styleId="24">
    <w:name w:val="样式9 Char"/>
    <w:basedOn w:val="1"/>
    <w:link w:val="25"/>
    <w:qFormat/>
    <w:uiPriority w:val="0"/>
    <w:pPr>
      <w:widowControl/>
      <w:spacing w:line="440" w:lineRule="exact"/>
      <w:ind w:firstLine="200" w:firstLineChars="200"/>
      <w:jc w:val="left"/>
    </w:pPr>
    <w:rPr>
      <w:rFonts w:ascii="Times New Roman" w:hAnsi="Times New Roman" w:eastAsia="宋体" w:cs="Times New Roman"/>
      <w:spacing w:val="6"/>
      <w:kern w:val="0"/>
      <w:sz w:val="24"/>
      <w:szCs w:val="20"/>
    </w:rPr>
  </w:style>
  <w:style w:type="character" w:customStyle="1" w:styleId="25">
    <w:name w:val="样式9 Char Char"/>
    <w:link w:val="24"/>
    <w:qFormat/>
    <w:uiPriority w:val="0"/>
    <w:rPr>
      <w:rFonts w:ascii="Times New Roman" w:hAnsi="Times New Roman" w:eastAsia="宋体" w:cs="Times New Roman"/>
      <w:spacing w:val="6"/>
      <w:kern w:val="0"/>
      <w:sz w:val="24"/>
      <w:szCs w:val="20"/>
    </w:rPr>
  </w:style>
  <w:style w:type="paragraph" w:customStyle="1" w:styleId="26">
    <w:name w:val="样式29"/>
    <w:basedOn w:val="24"/>
    <w:qFormat/>
    <w:uiPriority w:val="0"/>
    <w:rPr>
      <w:rFonts w:eastAsia="楷体_GB2312"/>
    </w:rPr>
  </w:style>
  <w:style w:type="paragraph" w:customStyle="1" w:styleId="27">
    <w:name w:val="样式7"/>
    <w:basedOn w:val="1"/>
    <w:qFormat/>
    <w:uiPriority w:val="0"/>
    <w:pPr>
      <w:widowControl/>
      <w:spacing w:line="480" w:lineRule="exact"/>
      <w:jc w:val="center"/>
    </w:pPr>
    <w:rPr>
      <w:rFonts w:ascii="Times New Roman" w:hAnsi="Times New Roman" w:eastAsia="方正大标宋简体" w:cs="Times New Roman"/>
      <w:spacing w:val="6"/>
      <w:kern w:val="0"/>
      <w:sz w:val="44"/>
      <w:szCs w:val="20"/>
    </w:rPr>
  </w:style>
  <w:style w:type="character" w:customStyle="1" w:styleId="28">
    <w:name w:val="页眉 Char"/>
    <w:basedOn w:val="18"/>
    <w:link w:val="14"/>
    <w:qFormat/>
    <w:uiPriority w:val="99"/>
    <w:rPr>
      <w:sz w:val="18"/>
      <w:szCs w:val="18"/>
    </w:rPr>
  </w:style>
  <w:style w:type="character" w:customStyle="1" w:styleId="29">
    <w:name w:val="页脚 Char"/>
    <w:basedOn w:val="18"/>
    <w:link w:val="13"/>
    <w:qFormat/>
    <w:uiPriority w:val="99"/>
    <w:rPr>
      <w:sz w:val="18"/>
      <w:szCs w:val="18"/>
    </w:rPr>
  </w:style>
  <w:style w:type="character" w:customStyle="1" w:styleId="30">
    <w:name w:val="标题 1 Char"/>
    <w:basedOn w:val="18"/>
    <w:link w:val="2"/>
    <w:qFormat/>
    <w:uiPriority w:val="0"/>
    <w:rPr>
      <w:rFonts w:ascii="Times New Roman" w:hAnsi="Times New Roman" w:eastAsia="宋体" w:cs="Times New Roman"/>
      <w:b/>
      <w:bCs/>
      <w:kern w:val="44"/>
      <w:sz w:val="44"/>
      <w:szCs w:val="44"/>
    </w:rPr>
  </w:style>
  <w:style w:type="character" w:customStyle="1" w:styleId="31">
    <w:name w:val="标题 2 Char"/>
    <w:basedOn w:val="18"/>
    <w:link w:val="3"/>
    <w:qFormat/>
    <w:uiPriority w:val="0"/>
    <w:rPr>
      <w:rFonts w:ascii="Arial" w:hAnsi="Arial" w:eastAsia="黑体" w:cs="Times New Roman"/>
      <w:b/>
      <w:bCs/>
      <w:sz w:val="32"/>
      <w:szCs w:val="32"/>
    </w:rPr>
  </w:style>
  <w:style w:type="character" w:customStyle="1" w:styleId="32">
    <w:name w:val="标题 6 Char"/>
    <w:basedOn w:val="18"/>
    <w:link w:val="6"/>
    <w:qFormat/>
    <w:uiPriority w:val="0"/>
    <w:rPr>
      <w:rFonts w:ascii="Arial" w:hAnsi="Arial" w:eastAsia="黑体" w:cs="Times New Roman"/>
      <w:b/>
      <w:bCs/>
      <w:sz w:val="24"/>
      <w:szCs w:val="24"/>
    </w:rPr>
  </w:style>
  <w:style w:type="character" w:customStyle="1" w:styleId="33">
    <w:name w:val="标题 8 Char"/>
    <w:basedOn w:val="18"/>
    <w:link w:val="7"/>
    <w:qFormat/>
    <w:uiPriority w:val="0"/>
    <w:rPr>
      <w:rFonts w:ascii="Arial" w:hAnsi="Arial" w:eastAsia="黑体" w:cs="Times New Roman"/>
      <w:sz w:val="24"/>
      <w:szCs w:val="24"/>
    </w:rPr>
  </w:style>
  <w:style w:type="character" w:customStyle="1" w:styleId="34">
    <w:name w:val="标题 9 Char"/>
    <w:basedOn w:val="18"/>
    <w:link w:val="8"/>
    <w:qFormat/>
    <w:uiPriority w:val="0"/>
    <w:rPr>
      <w:rFonts w:ascii="Arial" w:hAnsi="Arial" w:eastAsia="黑体" w:cs="Times New Roman"/>
      <w:szCs w:val="21"/>
    </w:rPr>
  </w:style>
  <w:style w:type="paragraph" w:customStyle="1" w:styleId="3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18"/>
    <w:link w:val="12"/>
    <w:semiHidden/>
    <w:qFormat/>
    <w:uiPriority w:val="99"/>
    <w:rPr>
      <w:sz w:val="18"/>
      <w:szCs w:val="18"/>
    </w:rPr>
  </w:style>
  <w:style w:type="paragraph" w:customStyle="1" w:styleId="37">
    <w:name w:val="WPSOffice手动目录 1"/>
    <w:qFormat/>
    <w:uiPriority w:val="0"/>
    <w:rPr>
      <w:rFonts w:asciiTheme="minorHAnsi" w:hAnsiTheme="minorHAnsi" w:eastAsiaTheme="minorEastAsia" w:cstheme="minorBidi"/>
      <w:lang w:val="en-US" w:eastAsia="zh-CN" w:bidi="ar-SA"/>
    </w:rPr>
  </w:style>
  <w:style w:type="paragraph" w:customStyle="1" w:styleId="3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9">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FD6C5-03A0-44B8-AEF6-ABD5ABE0DC0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269</Words>
  <Characters>303</Characters>
  <Lines>95</Lines>
  <Paragraphs>26</Paragraphs>
  <TotalTime>229</TotalTime>
  <ScaleCrop>false</ScaleCrop>
  <LinksUpToDate>false</LinksUpToDate>
  <CharactersWithSpaces>334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2024-05-22T08:25:00Z</dcterms:created>
  <dc:creator>AutoBVT</dc:creator>
  <cp:lastModifiedBy>Nacl</cp:lastModifiedBy>
  <cp:lastPrinted>2025-09-08T08:35:17Z</cp:lastPrinted>
  <dcterms:modified xsi:type="dcterms:W3CDTF">2025-09-08T08:36:20Z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7DE5F3039EDD429D9A4EE1E5B647D940_12</vt:lpwstr>
  </property>
  <property fmtid="{D5CDD505-2E9C-101B-9397-08002B2CF9AE}" pid="4" name="KSOTemplateDocerSaveRecord">
    <vt:lpwstr>eyJoZGlkIjoiNGU3NTVhZTI1OGNiNzE4NDA5ZGNkYmRkNjllMzExODgiLCJ1c2VySWQiOiI1MDE4Mzg2OTMifQ==</vt:lpwstr>
  </property>
</Properties>
</file>